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76F7F">
      <w:pPr>
        <w:pStyle w:val="33"/>
        <w:framePr w:wrap="around"/>
        <w:rPr>
          <w:rFonts w:ascii="Times New Roman"/>
          <w:color w:val="000000" w:themeColor="text1"/>
          <w14:textFill>
            <w14:solidFill>
              <w14:schemeClr w14:val="tx1"/>
            </w14:solidFill>
          </w14:textFill>
        </w:rPr>
      </w:pPr>
    </w:p>
    <w:p w14:paraId="28AD501A">
      <w:pPr>
        <w:pStyle w:val="33"/>
        <w:framePr w:wrap="around"/>
        <w:rPr>
          <w:rFonts w:ascii="Times New Roman"/>
          <w:color w:val="000000" w:themeColor="text1"/>
          <w14:textFill>
            <w14:solidFill>
              <w14:schemeClr w14:val="tx1"/>
            </w14:solidFill>
          </w14:textFill>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E0A5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BE6BDC1">
            <w:pPr>
              <w:pStyle w:val="33"/>
              <w:framePr w:wrap="around"/>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r>
              <w:rPr>
                <w:rFonts w:ascii="Times New Roman"/>
                <w:color w:val="000000" w:themeColor="text1"/>
                <w14:textFill>
                  <w14:solidFill>
                    <w14:schemeClr w14:val="tx1"/>
                  </w14:solidFill>
                </w14:textFill>
              </w:rPr>
              <w:fldChar w:fldCharType="begin">
                <w:ffData>
                  <w:name w:val="BAH"/>
                  <w:enabled/>
                  <w:calcOnExit w:val="0"/>
                  <w:textInput/>
                </w:ffData>
              </w:fldChar>
            </w:r>
            <w:r>
              <w:rPr>
                <w:rFonts w:ascii="Times New Roman"/>
                <w:color w:val="000000" w:themeColor="text1"/>
                <w14:textFill>
                  <w14:solidFill>
                    <w14:schemeClr w14:val="tx1"/>
                  </w14:solidFill>
                </w14:textFill>
              </w:rPr>
              <w:instrText xml:space="preserve">FORMTEXT</w:instrText>
            </w:r>
            <w:r>
              <w:rPr>
                <w:rFonts w:ascii="Times New Roman"/>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     </w:t>
            </w:r>
            <w:r>
              <w:rPr>
                <w:rFonts w:ascii="Times New Roman"/>
                <w:color w:val="000000" w:themeColor="text1"/>
                <w14:textFill>
                  <w14:solidFill>
                    <w14:schemeClr w14:val="tx1"/>
                  </w14:solidFill>
                </w14:textFill>
              </w:rPr>
              <w:fldChar w:fldCharType="end"/>
            </w:r>
          </w:p>
        </w:tc>
      </w:tr>
    </w:tbl>
    <w:p w14:paraId="6D3067C6">
      <w:pPr>
        <w:pStyle w:val="34"/>
        <w:framePr w:w="3241" w:wrap="around" w:vAnchor="page" w:hAnchor="page" w:x="7133" w:y="87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G</w:t>
      </w:r>
      <w:r>
        <w:rPr>
          <w:color w:val="000000" w:themeColor="text1"/>
          <w14:textFill>
            <w14:solidFill>
              <w14:schemeClr w14:val="tx1"/>
            </w14:solidFill>
          </w14:textFill>
        </w:rPr>
        <w:fldChar w:fldCharType="begin">
          <w:ffData>
            <w:name w:val="c1"/>
            <w:enabled/>
            <w:calcOnExit w:val="0"/>
            <w:textInput>
              <w:maxLength w:val="2"/>
            </w:textInput>
          </w:ffData>
        </w:fldChar>
      </w:r>
      <w:bookmarkStart w:id="0" w:name="c1"/>
      <w:r>
        <w:rPr>
          <w:color w:val="000000" w:themeColor="text1"/>
          <w14:textFill>
            <w14:solidFill>
              <w14:schemeClr w14:val="tx1"/>
            </w14:solidFill>
          </w14:textFill>
        </w:rPr>
        <w:instrText xml:space="preserve">FORMTEXT</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T</w:t>
      </w:r>
      <w:r>
        <w:rPr>
          <w:color w:val="000000" w:themeColor="text1"/>
          <w14:textFill>
            <w14:solidFill>
              <w14:schemeClr w14:val="tx1"/>
            </w14:solidFill>
          </w14:textFill>
        </w:rPr>
        <w:fldChar w:fldCharType="end"/>
      </w:r>
      <w:bookmarkEnd w:id="0"/>
      <w:r>
        <w:rPr>
          <w:rFonts w:hint="eastAsia"/>
          <w:color w:val="000000" w:themeColor="text1"/>
          <w14:textFill>
            <w14:solidFill>
              <w14:schemeClr w14:val="tx1"/>
            </w14:solidFill>
          </w14:textFill>
        </w:rPr>
        <w:t>J</w:t>
      </w:r>
    </w:p>
    <w:p w14:paraId="750A00A7">
      <w:pPr>
        <w:pStyle w:val="82"/>
        <w:framePr w:wrap="around"/>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铁路专用产品检验检测细则</w:t>
      </w:r>
    </w:p>
    <w:p w14:paraId="1BC7EBE6">
      <w:pPr>
        <w:pStyle w:val="36"/>
        <w:framePr w:wrap="around"/>
        <w:rPr>
          <w:rFonts w:hint="eastAsia" w:ascii="Times New Roman" w:eastAsia="黑体"/>
          <w:color w:val="000000" w:themeColor="text1"/>
          <w:lang w:eastAsia="zh-CN"/>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GTJ </w:t>
      </w:r>
      <w:r>
        <w:rPr>
          <w:rFonts w:hint="eastAsia" w:hAnsi="黑体" w:cs="黑体"/>
          <w:lang w:val="en-US" w:eastAsia="zh-CN"/>
        </w:rPr>
        <w:t>XX</w:t>
      </w:r>
      <w:r>
        <w:rPr>
          <w:rFonts w:hint="eastAsia" w:ascii="黑体" w:hAnsi="黑体" w:eastAsia="黑体" w:cs="黑体"/>
        </w:rPr>
        <w:t>XX—</w:t>
      </w:r>
      <w:r>
        <w:rPr>
          <w:rFonts w:hint="eastAsia" w:hAnsi="黑体" w:cs="黑体"/>
          <w:lang w:val="en-US" w:eastAsia="zh-CN"/>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3B53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5FB19950">
            <w:pPr>
              <w:pStyle w:val="37"/>
              <w:framePr w:wrap="around"/>
              <w:widowControl w:val="0"/>
              <w:rPr>
                <w:rFonts w:ascii="Times New Roman"/>
                <w:color w:val="000000" w:themeColor="text1"/>
                <w14:textFill>
                  <w14:solidFill>
                    <w14:schemeClr w14:val="tx1"/>
                  </w14:solidFill>
                </w14:textFill>
              </w:rPr>
            </w:pPr>
            <w:r>
              <w:rPr>
                <w:rFonts w:asci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-205105</wp:posOffset>
                      </wp:positionH>
                      <wp:positionV relativeFrom="paragraph">
                        <wp:posOffset>589280</wp:posOffset>
                      </wp:positionV>
                      <wp:extent cx="6121400" cy="0"/>
                      <wp:effectExtent l="0" t="0" r="0" b="0"/>
                      <wp:wrapNone/>
                      <wp:docPr id="408"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15pt;margin-top:46.4pt;height:0pt;width:482pt;z-index:251663360;mso-width-relative:page;mso-height-relative:page;" filled="f" stroked="t" coordsize="21600,21600" o:gfxdata="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KhSeNYAAAAJAQAA&#10;DwAAAAAAAAABACAAAAAiAAAAZHJzL2Rvd25yZXYueG1sUEsBAhQAFAAAAAgAh07iQJhdgaHiAQAA&#10;0gMAAA4AAAAAAAAAAQAgAAAAJQEAAGRycy9lMm9Eb2MueG1sUEsFBgAAAAAGAAYAWQEAAHkFAAAA&#10;AA==&#10;">
                      <v:fill on="f" focussize="0,0"/>
                      <v:stroke color="#000000" joinstyle="round"/>
                      <v:imagedata o:title=""/>
                      <o:lock v:ext="edit" aspectratio="f"/>
                    </v:line>
                  </w:pict>
                </mc:Fallback>
              </mc:AlternateContent>
            </w:r>
            <w:r>
              <w:rPr>
                <w:rFonts w:ascii="Times New Roman"/>
                <w:color w:val="000000" w:themeColor="text1"/>
                <w14:textFill>
                  <w14:solidFill>
                    <w14:schemeClr w14:val="tx1"/>
                  </w14:solidFill>
                </w14:textFill>
              </w:rPr>
              <mc:AlternateContent>
                <mc:Choice Requires="wps">
                  <w:drawing>
                    <wp:anchor distT="0" distB="0" distL="114300" distR="114300" simplePos="0" relativeHeight="251661312"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5168;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color w:val="000000" w:themeColor="text1"/>
                <w14:textFill>
                  <w14:solidFill>
                    <w14:schemeClr w14:val="tx1"/>
                  </w14:solidFill>
                </w14:textFill>
              </w:rPr>
              <w:fldChar w:fldCharType="begin">
                <w:ffData>
                  <w:name w:val="DT"/>
                  <w:enabled/>
                  <w:calcOnExit w:val="0"/>
                  <w:textInput/>
                </w:ffData>
              </w:fldChar>
            </w:r>
            <w:bookmarkStart w:id="1" w:name="DT"/>
            <w:r>
              <w:rPr>
                <w:rFonts w:ascii="Times New Roman"/>
                <w:color w:val="000000" w:themeColor="text1"/>
                <w14:textFill>
                  <w14:solidFill>
                    <w14:schemeClr w14:val="tx1"/>
                  </w14:solidFill>
                </w14:textFill>
              </w:rPr>
              <w:instrText xml:space="preserve">FORMTEXT</w:instrText>
            </w:r>
            <w:r>
              <w:rPr>
                <w:rFonts w:ascii="Times New Roman"/>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     </w:t>
            </w:r>
            <w:r>
              <w:rPr>
                <w:rFonts w:ascii="Times New Roman"/>
                <w:color w:val="000000" w:themeColor="text1"/>
                <w14:textFill>
                  <w14:solidFill>
                    <w14:schemeClr w14:val="tx1"/>
                  </w14:solidFill>
                </w14:textFill>
              </w:rPr>
              <w:fldChar w:fldCharType="end"/>
            </w:r>
            <w:bookmarkEnd w:id="1"/>
          </w:p>
        </w:tc>
      </w:tr>
    </w:tbl>
    <w:p w14:paraId="0F3636DB">
      <w:pPr>
        <w:pStyle w:val="36"/>
        <w:framePr w:wrap="around"/>
        <w:rPr>
          <w:rFonts w:ascii="Times New Roman"/>
          <w:color w:val="000000" w:themeColor="text1"/>
          <w14:textFill>
            <w14:solidFill>
              <w14:schemeClr w14:val="tx1"/>
            </w14:solidFill>
          </w14:textFill>
        </w:rPr>
      </w:pPr>
    </w:p>
    <w:p w14:paraId="2DE3171F">
      <w:pPr>
        <w:pStyle w:val="43"/>
        <w:framePr w:wrap="around" w:hAnchor="page" w:x="1214" w:y="13925"/>
        <w:rPr>
          <w:color w:val="000000" w:themeColor="text1"/>
          <w14:textFill>
            <w14:solidFill>
              <w14:schemeClr w14:val="tx1"/>
            </w14:solidFill>
          </w14:textFill>
        </w:rPr>
      </w:pPr>
      <w:r>
        <w:rPr>
          <w:rFonts w:ascii="黑体" w:hAnsi="黑体"/>
          <w:color w:val="000000" w:themeColor="text1"/>
          <w14:textFill>
            <w14:solidFill>
              <w14:schemeClr w14:val="tx1"/>
            </w14:solidFill>
          </w14:textFill>
        </w:rPr>
        <w:fldChar w:fldCharType="begin">
          <w:ffData>
            <w:name w:val="FY"/>
            <w:enabled/>
            <w:calcOnExit w:val="0"/>
            <w:textInput>
              <w:default w:val="XXXX"/>
              <w:maxLength w:val="4"/>
            </w:textInput>
          </w:ffData>
        </w:fldChar>
      </w:r>
      <w:bookmarkStart w:id="2" w:name="FY"/>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XXXX</w:t>
      </w:r>
      <w:r>
        <w:rPr>
          <w:rFonts w:ascii="黑体" w:hAnsi="黑体"/>
          <w:color w:val="000000" w:themeColor="text1"/>
          <w14:textFill>
            <w14:solidFill>
              <w14:schemeClr w14:val="tx1"/>
            </w14:solidFill>
          </w14:textFill>
        </w:rPr>
        <w:fldChar w:fldCharType="end"/>
      </w:r>
      <w:bookmarkEnd w:id="2"/>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FM"/>
            <w:enabled/>
            <w:calcOnExit w:val="0"/>
            <w:textInput>
              <w:default w:val="XX"/>
              <w:maxLength w:val="2"/>
            </w:textInput>
          </w:ffData>
        </w:fldChar>
      </w:r>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FD"/>
            <w:enabled/>
            <w:calcOnExit w:val="0"/>
            <w:textInput>
              <w:default w:val="XX"/>
              <w:maxLength w:val="2"/>
            </w:textInput>
          </w:ffData>
        </w:fldChar>
      </w:r>
      <w:bookmarkStart w:id="3" w:name="FD"/>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bookmarkEnd w:id="3"/>
      <w:r>
        <w:rPr>
          <w:color w:val="000000" w:themeColor="text1"/>
          <w14:textFill>
            <w14:solidFill>
              <w14:schemeClr w14:val="tx1"/>
            </w14:solidFill>
          </w14:textFill>
        </w:rPr>
        <w:t>发布</w:t>
      </w:r>
    </w:p>
    <w:p w14:paraId="7BFAD680">
      <w:pPr>
        <w:pStyle w:val="45"/>
        <w:framePr w:wrap="around" w:hAnchor="page" w:x="6809" w:y="14022"/>
        <w:rPr>
          <w:color w:val="000000" w:themeColor="text1"/>
          <w14:textFill>
            <w14:solidFill>
              <w14:schemeClr w14:val="tx1"/>
            </w14:solidFill>
          </w14:textFill>
        </w:rPr>
      </w:pPr>
      <w:r>
        <w:rPr>
          <w:rFonts w:ascii="黑体" w:hAnsi="黑体"/>
          <w:color w:val="000000" w:themeColor="text1"/>
          <w14:textFill>
            <w14:solidFill>
              <w14:schemeClr w14:val="tx1"/>
            </w14:solidFill>
          </w14:textFill>
        </w:rPr>
        <w:fldChar w:fldCharType="begin">
          <w:ffData>
            <w:name w:val="SY"/>
            <w:enabled/>
            <w:calcOnExit w:val="0"/>
            <w:textInput>
              <w:default w:val="XXXX"/>
              <w:maxLength w:val="4"/>
            </w:textInput>
          </w:ffData>
        </w:fldChar>
      </w:r>
      <w:bookmarkStart w:id="4" w:name="SY"/>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XXXX</w:t>
      </w:r>
      <w:r>
        <w:rPr>
          <w:rFonts w:ascii="黑体" w:hAnsi="黑体"/>
          <w:color w:val="000000" w:themeColor="text1"/>
          <w14:textFill>
            <w14:solidFill>
              <w14:schemeClr w14:val="tx1"/>
            </w14:solidFill>
          </w14:textFill>
        </w:rPr>
        <w:fldChar w:fldCharType="end"/>
      </w:r>
      <w:bookmarkEnd w:id="4"/>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SM"/>
            <w:enabled/>
            <w:calcOnExit w:val="0"/>
            <w:textInput>
              <w:default w:val="XX"/>
              <w:maxLength w:val="2"/>
            </w:textInput>
          </w:ffData>
        </w:fldChar>
      </w:r>
      <w:bookmarkStart w:id="5" w:name="SM"/>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bookmarkEnd w:id="5"/>
      <w:r>
        <w:rPr>
          <w:rFonts w:hint="eastAsia" w:ascii="黑体" w:hAnsi="黑体"/>
          <w:color w:val="000000" w:themeColor="text1"/>
          <w14:textFill>
            <w14:solidFill>
              <w14:schemeClr w14:val="tx1"/>
            </w14:solidFill>
          </w14:textFill>
        </w:rPr>
        <w:t>—</w:t>
      </w:r>
      <w:r>
        <w:rPr>
          <w:rFonts w:ascii="黑体" w:hAnsi="黑体"/>
          <w:color w:val="000000" w:themeColor="text1"/>
          <w14:textFill>
            <w14:solidFill>
              <w14:schemeClr w14:val="tx1"/>
            </w14:solidFill>
          </w14:textFill>
        </w:rPr>
        <w:fldChar w:fldCharType="begin">
          <w:ffData>
            <w:name w:val="SD"/>
            <w:enabled/>
            <w:calcOnExit w:val="0"/>
            <w:textInput>
              <w:default w:val="XX"/>
              <w:maxLength w:val="2"/>
            </w:textInput>
          </w:ffData>
        </w:fldChar>
      </w:r>
      <w:bookmarkStart w:id="6" w:name="SD"/>
      <w:r>
        <w:rPr>
          <w:rFonts w:ascii="黑体" w:hAnsi="黑体"/>
          <w:color w:val="000000" w:themeColor="text1"/>
          <w14:textFill>
            <w14:solidFill>
              <w14:schemeClr w14:val="tx1"/>
            </w14:solidFill>
          </w14:textFill>
        </w:rPr>
        <w:instrText xml:space="preserve">FORMTEXT</w:instrText>
      </w:r>
      <w:r>
        <w:rPr>
          <w:rFonts w:ascii="黑体" w:hAnsi="黑体"/>
          <w:color w:val="000000" w:themeColor="text1"/>
          <w14:textFill>
            <w14:solidFill>
              <w14:schemeClr w14:val="tx1"/>
            </w14:solidFill>
          </w14:textFill>
        </w:rPr>
        <w:fldChar w:fldCharType="separate"/>
      </w:r>
      <w:r>
        <w:rPr>
          <w:rFonts w:ascii="黑体" w:hAnsi="黑体"/>
          <w:color w:val="000000" w:themeColor="text1"/>
          <w14:textFill>
            <w14:solidFill>
              <w14:schemeClr w14:val="tx1"/>
            </w14:solidFill>
          </w14:textFill>
        </w:rPr>
        <w:t>XX</w:t>
      </w:r>
      <w:r>
        <w:rPr>
          <w:rFonts w:ascii="黑体" w:hAnsi="黑体"/>
          <w:color w:val="000000" w:themeColor="text1"/>
          <w14:textFill>
            <w14:solidFill>
              <w14:schemeClr w14:val="tx1"/>
            </w14:solidFill>
          </w14:textFill>
        </w:rPr>
        <w:fldChar w:fldCharType="end"/>
      </w:r>
      <w:bookmarkEnd w:id="6"/>
      <w:r>
        <w:rPr>
          <w:color w:val="000000" w:themeColor="text1"/>
          <w14:textFill>
            <w14:solidFill>
              <w14:schemeClr w14:val="tx1"/>
            </w14:solidFill>
          </w14:textFill>
        </w:rPr>
        <w:t>实施</w:t>
      </w:r>
    </w:p>
    <w:p w14:paraId="6103EF53">
      <w:pPr>
        <w:pStyle w:val="83"/>
        <w:framePr w:wrap="around"/>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fldChar w:fldCharType="begin">
          <w:ffData>
            <w:name w:val="fm"/>
            <w:enabled/>
            <w:calcOnExit w:val="0"/>
            <w:textInput/>
          </w:ffData>
        </w:fldChar>
      </w:r>
      <w:bookmarkStart w:id="7" w:name="fm"/>
      <w:r>
        <w:rPr>
          <w:rFonts w:ascii="Times New Roman"/>
          <w:color w:val="000000" w:themeColor="text1"/>
          <w14:textFill>
            <w14:solidFill>
              <w14:schemeClr w14:val="tx1"/>
            </w14:solidFill>
          </w14:textFill>
        </w:rPr>
        <w:instrText xml:space="preserve">FORMTEXT</w:instrText>
      </w:r>
      <w:r>
        <w:rPr>
          <w:rFonts w:ascii="Times New Roman"/>
          <w:color w:val="000000" w:themeColor="text1"/>
          <w14:textFill>
            <w14:solidFill>
              <w14:schemeClr w14:val="tx1"/>
            </w14:solidFill>
          </w14:textFill>
        </w:rPr>
        <w:fldChar w:fldCharType="separate"/>
      </w:r>
      <w:r>
        <w:rPr>
          <w:rFonts w:ascii="Times New Roman"/>
          <w:color w:val="000000" w:themeColor="text1"/>
          <w14:textFill>
            <w14:solidFill>
              <w14:schemeClr w14:val="tx1"/>
            </w14:solidFill>
          </w14:textFill>
        </w:rPr>
        <w:t>国家铁路局</w:t>
      </w:r>
      <w:r>
        <w:rPr>
          <w:rFonts w:ascii="Times New Roman"/>
          <w:color w:val="000000" w:themeColor="text1"/>
          <w14:textFill>
            <w14:solidFill>
              <w14:schemeClr w14:val="tx1"/>
            </w14:solidFill>
          </w14:textFill>
        </w:rPr>
        <w:fldChar w:fldCharType="end"/>
      </w:r>
      <w:bookmarkEnd w:id="7"/>
      <w:r>
        <w:rPr>
          <w:rFonts w:ascii="Times New Roman"/>
          <w:color w:val="000000" w:themeColor="text1"/>
          <w14:textFill>
            <w14:solidFill>
              <w14:schemeClr w14:val="tx1"/>
            </w14:solidFill>
          </w14:textFill>
        </w:rPr>
        <w:t>   </w:t>
      </w:r>
      <w:r>
        <w:rPr>
          <w:rStyle w:val="84"/>
          <w:rFonts w:ascii="Times New Roman"/>
          <w:color w:val="000000" w:themeColor="text1"/>
          <w14:textFill>
            <w14:solidFill>
              <w14:schemeClr w14:val="tx1"/>
            </w14:solidFill>
          </w14:textFill>
        </w:rPr>
        <w:t>发布</w:t>
      </w:r>
    </w:p>
    <w:p w14:paraId="199C841F">
      <w:pPr>
        <w:pStyle w:val="38"/>
        <w:framePr w:h="7701" w:hRule="exact" w:wrap="around" w:x="1441" w:y="6395"/>
        <w:adjustRightInd w:val="0"/>
        <w:snapToGrid w:val="0"/>
        <w:spacing w:line="24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铁路贯通地线</w:t>
      </w:r>
    </w:p>
    <w:p w14:paraId="24854625">
      <w:pPr>
        <w:pStyle w:val="39"/>
        <w:framePr w:h="7701" w:hRule="exact" w:wrap="around" w:x="1441" w:y="6395"/>
        <w:spacing w:before="0"/>
        <w:rPr>
          <w:color w:val="000000" w:themeColor="text1"/>
          <w14:textFill>
            <w14:solidFill>
              <w14:schemeClr w14:val="tx1"/>
            </w14:solidFill>
          </w14:textFill>
        </w:rPr>
      </w:pPr>
    </w:p>
    <w:p w14:paraId="27E0CBB7">
      <w:pPr>
        <w:pStyle w:val="39"/>
        <w:framePr w:h="7701" w:hRule="exact" w:wrap="around" w:x="1441" w:y="6395"/>
        <w:spacing w:before="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Railway through ground wire</w:t>
      </w:r>
    </w:p>
    <w:p w14:paraId="0F626080">
      <w:pPr>
        <w:pStyle w:val="39"/>
        <w:framePr w:h="7701" w:hRule="exact" w:wrap="around" w:x="1441" w:y="6395"/>
        <w:spacing w:before="0"/>
        <w:rPr>
          <w:rFonts w:hint="eastAsia"/>
          <w:color w:val="000000" w:themeColor="text1"/>
          <w:lang w:val="en-US" w:eastAsia="zh-CN"/>
          <w14:textFill>
            <w14:solidFill>
              <w14:schemeClr w14:val="tx1"/>
            </w14:solidFill>
          </w14:textFill>
        </w:rPr>
      </w:pPr>
    </w:p>
    <w:p w14:paraId="44563D6F">
      <w:pPr>
        <w:pStyle w:val="39"/>
        <w:framePr w:h="7701" w:hRule="exact" w:wrap="around" w:x="1441" w:y="6395"/>
        <w:spacing w:before="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征求意见稿</w:t>
      </w:r>
    </w:p>
    <w:p w14:paraId="0B9EC361">
      <w:pPr>
        <w:pStyle w:val="39"/>
        <w:framePr w:h="7701" w:hRule="exact" w:wrap="around" w:x="1441" w:y="6395"/>
        <w:spacing w:before="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kern w:val="0"/>
          <w:position w:val="10"/>
          <w:sz w:val="24"/>
          <w:szCs w:val="24"/>
        </w:rPr>
        <w:t>（本稿完成日期：2025年</w:t>
      </w:r>
      <w:r>
        <w:rPr>
          <w:rFonts w:hint="eastAsia" w:ascii="宋体" w:hAnsi="宋体" w:eastAsia="宋体" w:cs="宋体"/>
          <w:color w:val="000000"/>
          <w:kern w:val="0"/>
          <w:position w:val="10"/>
          <w:sz w:val="24"/>
          <w:szCs w:val="24"/>
          <w:lang w:val="en-US" w:eastAsia="zh-CN"/>
        </w:rPr>
        <w:t>11</w:t>
      </w:r>
      <w:r>
        <w:rPr>
          <w:rFonts w:hint="eastAsia" w:ascii="宋体" w:hAnsi="宋体" w:eastAsia="宋体" w:cs="宋体"/>
          <w:color w:val="000000"/>
          <w:kern w:val="0"/>
          <w:position w:val="10"/>
          <w:sz w:val="24"/>
          <w:szCs w:val="24"/>
        </w:rPr>
        <w:t>月）</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536DC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2" w:hRule="atLeast"/>
        </w:trPr>
        <w:tc>
          <w:tcPr>
            <w:tcW w:w="9855" w:type="dxa"/>
            <w:tcBorders>
              <w:top w:val="nil"/>
              <w:left w:val="nil"/>
              <w:bottom w:val="nil"/>
              <w:right w:val="nil"/>
            </w:tcBorders>
          </w:tcPr>
          <w:p w14:paraId="75F3EFE3">
            <w:pPr>
              <w:pStyle w:val="42"/>
              <w:framePr w:wrap="around" w:x="1441" w:y="6395"/>
              <w:rPr>
                <w:color w:val="000000" w:themeColor="text1"/>
                <w14:textFill>
                  <w14:solidFill>
                    <w14:schemeClr w14:val="tx1"/>
                  </w14:solidFill>
                </w14:textFill>
              </w:rPr>
            </w:pPr>
          </w:p>
          <w:p w14:paraId="2A46D173">
            <w:pPr>
              <w:pStyle w:val="42"/>
              <w:framePr w:wrap="around" w:x="1441" w:y="6395"/>
              <w:rPr>
                <w:color w:val="000000" w:themeColor="text1"/>
                <w14:textFill>
                  <w14:solidFill>
                    <w14:schemeClr w14:val="tx1"/>
                  </w14:solidFill>
                </w14:textFill>
              </w:rPr>
            </w:pPr>
            <w:bookmarkStart w:id="177" w:name="_GoBack"/>
            <w:bookmarkEnd w:id="177"/>
          </w:p>
        </w:tc>
        <w:tc>
          <w:tcPr>
            <w:tcW w:w="9855" w:type="dxa"/>
            <w:tcBorders>
              <w:top w:val="nil"/>
              <w:left w:val="nil"/>
              <w:bottom w:val="nil"/>
              <w:right w:val="nil"/>
            </w:tcBorders>
          </w:tcPr>
          <w:p w14:paraId="79DDF786">
            <w:pPr>
              <w:pStyle w:val="41"/>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000000" w:themeColor="text1"/>
                <w14:textFill>
                  <w14:solidFill>
                    <w14:schemeClr w14:val="tx1"/>
                  </w14:solidFill>
                </w14:textFill>
              </w:rPr>
              <w:instrText xml:space="preserve"> </w:instrText>
            </w:r>
            <w:bookmarkStart w:id="8" w:name="LB"/>
            <w:r>
              <w:rPr>
                <w:color w:val="000000" w:themeColor="text1"/>
                <w14:textFill>
                  <w14:solidFill>
                    <w14:schemeClr w14:val="tx1"/>
                  </w14:solidFill>
                </w14:textFill>
              </w:rPr>
              <w:instrText xml:space="preserve">FORMDROPDOWN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end"/>
            </w:r>
            <w:bookmarkEnd w:id="8"/>
            <w:r>
              <w:rPr>
                <w:color w:val="000000" w:themeColor="text1"/>
                <w14:textFill>
                  <w14:solidFill>
                    <w14:schemeClr w14:val="tx1"/>
                  </w14:solidFill>
                </w14:textFill>
              </w:rPr>
              <mc:AlternateContent>
                <mc:Choice Requires="wps">
                  <w:drawing>
                    <wp:anchor distT="0" distB="0" distL="114300" distR="114300" simplePos="0" relativeHeight="251665408"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1072;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2096;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1DFA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36400943">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6432" behindDoc="0" locked="1" layoutInCell="1" allowOverlap="1">
                      <wp:simplePos x="0" y="0"/>
                      <wp:positionH relativeFrom="margin">
                        <wp:posOffset>-228600</wp:posOffset>
                      </wp:positionH>
                      <wp:positionV relativeFrom="page">
                        <wp:posOffset>-418465</wp:posOffset>
                      </wp:positionV>
                      <wp:extent cx="6121400" cy="0"/>
                      <wp:effectExtent l="0" t="0" r="31750" b="19050"/>
                      <wp:wrapNone/>
                      <wp:docPr id="2088175675" name="直接连接符 2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1" o:spid="_x0000_s1026" o:spt="20" style="position:absolute;left:0pt;margin-left:-18pt;margin-top:-32.95pt;height:0pt;width:482pt;mso-position-horizontal-relative:margin;mso-position-vertical-relative:page;z-index:251666432;mso-width-relative:page;mso-height-relative:page;" filled="f" stroked="t" coordsize="21600,21600" o:gfxdata="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b6zv9gAAAALAQAADwAAAAAAAAABACAAAAAiAAAAZHJzL2Rvd25yZXYueG1sUEsB&#10;AhQAFAAAAAgAh07iQH6yNZ71AQAA4gMAAA4AAAAAAAAAAQAgAAAAJwEAAGRycy9lMm9Eb2MueG1s&#10;UEsFBgAAAAAGAAYAWQEAAI4FAAAAAA==&#10;">
                      <v:fill on="f" focussize="0,0"/>
                      <v:stroke color="#000000" joinstyle="round"/>
                      <v:imagedata o:title=""/>
                      <o:lock v:ext="edit" aspectratio="f"/>
                      <w10:anchorlock/>
                    </v:line>
                  </w:pict>
                </mc:Fallback>
              </mc:AlternateContent>
            </w:r>
          </w:p>
        </w:tc>
        <w:tc>
          <w:tcPr>
            <w:tcW w:w="9855" w:type="dxa"/>
            <w:tcBorders>
              <w:top w:val="nil"/>
              <w:left w:val="nil"/>
              <w:bottom w:val="nil"/>
              <w:right w:val="nil"/>
            </w:tcBorders>
          </w:tcPr>
          <w:p w14:paraId="51B01A6B">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WCRQ"/>
                  <w:enabled/>
                  <w:calcOnExit w:val="0"/>
                  <w:textInput>
                    <w:default w:val="（本稿完成日期：2024年9月10日）"/>
                  </w:textInput>
                </w:ffData>
              </w:fldChar>
            </w:r>
            <w:r>
              <w:rPr>
                <w:color w:val="000000" w:themeColor="text1"/>
                <w14:textFill>
                  <w14:solidFill>
                    <w14:schemeClr w14:val="tx1"/>
                  </w14:solidFill>
                </w14:textFill>
              </w:rPr>
              <w:instrText xml:space="preserve"> </w:instrText>
            </w:r>
            <w:bookmarkStart w:id="9" w:name="WCRQ"/>
            <w:r>
              <w:rPr>
                <w:color w:val="000000" w:themeColor="text1"/>
                <w14:textFill>
                  <w14:solidFill>
                    <w14:schemeClr w14:val="tx1"/>
                  </w14:solidFill>
                </w14:textFill>
              </w:rPr>
              <w:instrText xml:space="preserve">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（本稿完成日期：2024年9月10日）</w:t>
            </w:r>
            <w:r>
              <w:rPr>
                <w:color w:val="000000" w:themeColor="text1"/>
                <w14:textFill>
                  <w14:solidFill>
                    <w14:schemeClr w14:val="tx1"/>
                  </w14:solidFill>
                </w14:textFill>
              </w:rPr>
              <w:fldChar w:fldCharType="end"/>
            </w:r>
            <w:bookmarkEnd w:id="9"/>
          </w:p>
          <w:p w14:paraId="6BF254DC">
            <w:pPr>
              <w:pStyle w:val="42"/>
              <w:framePr w:wrap="around" w:x="1441" w:y="6395"/>
              <w:rPr>
                <w:color w:val="000000" w:themeColor="text1"/>
                <w14:textFill>
                  <w14:solidFill>
                    <w14:schemeClr w14:val="tx1"/>
                  </w14:solidFill>
                </w14:textFill>
              </w:rPr>
            </w:pPr>
          </w:p>
          <w:p w14:paraId="4AAE5B88">
            <w:pPr>
              <w:pStyle w:val="42"/>
              <w:framePr w:wrap="around" w:x="1441" w:y="6395"/>
              <w:rPr>
                <w:color w:val="000000" w:themeColor="text1"/>
                <w14:textFill>
                  <w14:solidFill>
                    <w14:schemeClr w14:val="tx1"/>
                  </w14:solidFill>
                </w14:textFill>
              </w:rPr>
            </w:pPr>
          </w:p>
        </w:tc>
      </w:tr>
    </w:tbl>
    <w:p w14:paraId="24B1B390">
      <w:pPr>
        <w:pStyle w:val="48"/>
        <w:rPr>
          <w:color w:val="000000" w:themeColor="text1"/>
          <w14:textFill>
            <w14:solidFill>
              <w14:schemeClr w14:val="tx1"/>
            </w14:solidFill>
          </w14:textFill>
        </w:rPr>
        <w:sectPr>
          <w:headerReference r:id="rId3" w:type="default"/>
          <w:pgSz w:w="11906" w:h="16838"/>
          <w:pgMar w:top="567" w:right="1134" w:bottom="1134" w:left="1417" w:header="850" w:footer="992" w:gutter="0"/>
          <w:pgNumType w:fmt="upperRoman"/>
          <w:cols w:space="0" w:num="1"/>
          <w:formProt w:val="0"/>
          <w:titlePg/>
          <w:docGrid w:type="lines" w:linePitch="312" w:charSpace="0"/>
        </w:sectPr>
      </w:pPr>
      <w:bookmarkStart w:id="10" w:name="_Toc154136997"/>
      <w:bookmarkStart w:id="11" w:name="_Toc22633"/>
    </w:p>
    <w:p w14:paraId="50426005">
      <w:pPr>
        <w:pStyle w:val="48"/>
        <w:rPr>
          <w:color w:val="000000" w:themeColor="text1"/>
          <w14:textFill>
            <w14:solidFill>
              <w14:schemeClr w14:val="tx1"/>
            </w14:solidFill>
          </w14:textFill>
        </w:rPr>
      </w:pPr>
      <w:bookmarkStart w:id="12" w:name="_Toc165968529"/>
      <w:bookmarkStart w:id="13" w:name="_Toc8773"/>
      <w:r>
        <w:rPr>
          <w:color w:val="000000" w:themeColor="text1"/>
          <w14:textFill>
            <w14:solidFill>
              <w14:schemeClr w14:val="tx1"/>
            </w14:solidFill>
          </w14:textFill>
        </w:rPr>
        <w:t>目</w:t>
      </w:r>
      <w:r>
        <w:rPr>
          <w:rFonts w:eastAsia="MS Mincho"/>
          <w:color w:val="000000" w:themeColor="text1"/>
          <w14:textFill>
            <w14:solidFill>
              <w14:schemeClr w14:val="tx1"/>
            </w14:solidFill>
          </w14:textFill>
        </w:rPr>
        <w:t>  </w:t>
      </w:r>
      <w:r>
        <w:rPr>
          <w:color w:val="000000" w:themeColor="text1"/>
          <w14:textFill>
            <w14:solidFill>
              <w14:schemeClr w14:val="tx1"/>
            </w14:solidFill>
          </w14:textFill>
        </w:rPr>
        <w:t>次</w:t>
      </w:r>
      <w:bookmarkEnd w:id="10"/>
      <w:bookmarkEnd w:id="12"/>
      <w:r>
        <w:rPr>
          <w:color w:val="000000" w:themeColor="text1"/>
          <w14:textFill>
            <w14:solidFill>
              <w14:schemeClr w14:val="tx1"/>
            </w14:solidFill>
          </w14:textFill>
        </w:rPr>
        <w:t xml:space="preserve"> </w:t>
      </w:r>
      <w:bookmarkEnd w:id="13"/>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\o "1-1" \h \z \u </w:instrText>
      </w:r>
      <w:r>
        <w:rPr>
          <w:color w:val="000000" w:themeColor="text1"/>
          <w14:textFill>
            <w14:solidFill>
              <w14:schemeClr w14:val="tx1"/>
            </w14:solidFill>
          </w14:textFill>
        </w:rPr>
        <w:fldChar w:fldCharType="separate"/>
      </w:r>
    </w:p>
    <w:sdt>
      <w:sdtPr>
        <w:rPr>
          <w:color w:val="000000" w:themeColor="text1"/>
          <w:sz w:val="21"/>
          <w14:textFill>
            <w14:solidFill>
              <w14:schemeClr w14:val="tx1"/>
            </w14:solidFill>
          </w14:textFill>
        </w:rPr>
        <w:id w:val="147477460"/>
        <w:docPartObj>
          <w:docPartGallery w:val="Table of Contents"/>
          <w:docPartUnique/>
        </w:docPartObj>
      </w:sdtPr>
      <w:sdtEndPr>
        <w:rPr>
          <w:color w:val="000000" w:themeColor="text1"/>
          <w:sz w:val="18"/>
          <w14:textFill>
            <w14:solidFill>
              <w14:schemeClr w14:val="tx1"/>
            </w14:solidFill>
          </w14:textFill>
        </w:rPr>
      </w:sdtEndPr>
      <w:sdtContent>
        <w:p w14:paraId="47B0B41D">
          <w:pPr>
            <w:rPr>
              <w:color w:val="000000" w:themeColor="text1"/>
              <w14:textFill>
                <w14:solidFill>
                  <w14:schemeClr w14:val="tx1"/>
                </w14:solidFill>
              </w14:textFill>
            </w:rPr>
          </w:pPr>
        </w:p>
        <w:p w14:paraId="60FAA549">
          <w:pPr>
            <w:pStyle w:val="18"/>
            <w:tabs>
              <w:tab w:val="right" w:leader="dot" w:pos="9354"/>
              <w:tab w:val="clear" w:pos="0"/>
              <w:tab w:val="clear" w:pos="9242"/>
            </w:tabs>
            <w:spacing w:line="360" w:lineRule="exact"/>
            <w:rPr>
              <w:rFonts w:asciiTheme="minorHAnsi" w:hAnsiTheme="minorHAnsi"/>
              <w:color w:val="000000" w:themeColor="text1"/>
              <w:kern w:val="0"/>
              <w:sz w:val="22"/>
              <w:szCs w:val="22"/>
              <w14:textFill>
                <w14:solidFill>
                  <w14:schemeClr w14:val="tx1"/>
                </w14:solidFill>
              </w14:textFill>
            </w:rPr>
          </w:pPr>
          <w:r>
            <w:rPr>
              <w:color w:val="000000" w:themeColor="text1"/>
              <w:sz w:val="21"/>
              <w14:textFill>
                <w14:solidFill>
                  <w14:schemeClr w14:val="tx1"/>
                </w14:solidFill>
              </w14:textFill>
            </w:rPr>
            <w:fldChar w:fldCharType="begin"/>
          </w:r>
          <w:r>
            <w:rPr>
              <w:color w:val="000000" w:themeColor="text1"/>
              <w:sz w:val="21"/>
              <w14:textFill>
                <w14:solidFill>
                  <w14:schemeClr w14:val="tx1"/>
                </w14:solidFill>
              </w14:textFill>
            </w:rPr>
            <w:instrText xml:space="preserve">TOC \o "1-3" \h \u </w:instrText>
          </w:r>
          <w:r>
            <w:rPr>
              <w:color w:val="000000" w:themeColor="text1"/>
              <w:sz w:val="21"/>
              <w14:textFill>
                <w14:solidFill>
                  <w14:schemeClr w14:val="tx1"/>
                </w14:solidFill>
              </w14:textFill>
            </w:rPr>
            <w:fldChar w:fldCharType="separate"/>
          </w:r>
          <w:r>
            <w:fldChar w:fldCharType="begin"/>
          </w:r>
          <w:r>
            <w:instrText xml:space="preserve"> HYPERLINK \l "_Toc18691" </w:instrText>
          </w:r>
          <w:r>
            <w:fldChar w:fldCharType="separate"/>
          </w:r>
          <w:r>
            <w:rPr>
              <w:rFonts w:hint="eastAsia" w:asciiTheme="minorHAnsi" w:hAnsiTheme="minorHAnsi"/>
              <w:color w:val="000000" w:themeColor="text1"/>
              <w:kern w:val="0"/>
              <w:sz w:val="22"/>
              <w:szCs w:val="22"/>
              <w14:textFill>
                <w14:solidFill>
                  <w14:schemeClr w14:val="tx1"/>
                </w14:solidFill>
              </w14:textFill>
            </w:rPr>
            <w:t>前  </w:t>
          </w:r>
          <w:r>
            <w:rPr>
              <w:rFonts w:hint="eastAsia" w:ascii="宋体" w:hAnsi="宋体" w:eastAsia="宋体" w:cs="宋体"/>
              <w:color w:val="000000" w:themeColor="text1"/>
              <w:kern w:val="0"/>
              <w:sz w:val="22"/>
              <w:szCs w:val="22"/>
              <w14:textFill>
                <w14:solidFill>
                  <w14:schemeClr w14:val="tx1"/>
                </w14:solidFill>
              </w14:textFill>
            </w:rPr>
            <w:t>言</w:t>
          </w:r>
          <w:r>
            <w:rPr>
              <w:rFonts w:hint="eastAsia" w:ascii="宋体" w:hAnsi="宋体" w:eastAsia="宋体" w:cs="宋体"/>
              <w:color w:val="000000" w:themeColor="text1"/>
              <w:kern w:val="0"/>
              <w:sz w:val="22"/>
              <w:szCs w:val="22"/>
              <w14:textFill>
                <w14:solidFill>
                  <w14:schemeClr w14:val="tx1"/>
                </w14:solidFill>
              </w14:textFill>
            </w:rPr>
            <w:tab/>
          </w:r>
          <w:r>
            <w:rPr>
              <w:rFonts w:hint="eastAsia" w:ascii="宋体" w:hAnsi="宋体" w:eastAsia="宋体" w:cs="宋体"/>
              <w:color w:val="000000" w:themeColor="text1"/>
              <w:kern w:val="0"/>
              <w:sz w:val="22"/>
              <w:szCs w:val="22"/>
              <w14:textFill>
                <w14:solidFill>
                  <w14:schemeClr w14:val="tx1"/>
                </w14:solidFill>
              </w14:textFill>
            </w:rPr>
            <w:fldChar w:fldCharType="end"/>
          </w:r>
          <w:r>
            <w:rPr>
              <w:rFonts w:hint="eastAsia" w:asciiTheme="minorHAnsi" w:hAnsiTheme="minorHAnsi"/>
              <w:color w:val="000000" w:themeColor="text1"/>
              <w:kern w:val="0"/>
              <w:sz w:val="22"/>
              <w:szCs w:val="22"/>
              <w14:textFill>
                <w14:solidFill>
                  <w14:schemeClr w14:val="tx1"/>
                </w14:solidFill>
              </w14:textFill>
            </w:rPr>
            <w:t>Ⅱ</w:t>
          </w:r>
        </w:p>
        <w:p w14:paraId="0AA3B8D1">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"_Toc26945"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1 适用范围</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_Toc26945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45F5CE7E">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"_Toc14973"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2 规范性引用文件</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_Toc14973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01FF83D4">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"_Toc14560"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 工厂检查</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_Toc14560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42711D81">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"_Toc24934"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3.1 专业技术人员</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1</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0885AE44">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3.2 生产设备工装和监视测量设备</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_Toc20213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0B7B2D5D">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3.3 零部件和材料</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_Toc20213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0F880747">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 产品抽样检验</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_Toc20213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708BF500">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4.1 检验依据</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_Toc20213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4442E268">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4.2 产品抽样</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_Toc20213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54F48EB7">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4.3 检验条件</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3</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4513E1A4">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"_Toc20213"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4.4 检验内容及检验方法</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t>4</w:t>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7F217737">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"_Toc30249"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4.5 结果判定</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_Toc30249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5</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41E783AC">
          <w:pPr>
            <w:pStyle w:val="21"/>
            <w:tabs>
              <w:tab w:val="right" w:leader="dot" w:pos="9354"/>
              <w:tab w:val="clear" w:pos="0"/>
            </w:tabs>
            <w:spacing w:after="0" w:line="360" w:lineRule="exact"/>
            <w:ind w:left="0"/>
            <w:rPr>
              <w:rFonts w:asciiTheme="minorEastAsia" w:hAnsiTheme="minorEastAsia" w:cstheme="minorEastAsia"/>
              <w:color w:val="000000" w:themeColor="text1"/>
              <w:sz w:val="21"/>
              <w:szCs w:val="21"/>
              <w14:textFill>
                <w14:solidFill>
                  <w14:schemeClr w14:val="tx1"/>
                </w14:solidFill>
              </w14:textFill>
            </w:rPr>
          </w:pPr>
          <w:r>
            <w:fldChar w:fldCharType="begin"/>
          </w:r>
          <w:r>
            <w:instrText xml:space="preserve"> HYPERLINK \l "_Toc3408"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4.6 检验程序</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_Toc3408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5</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69B33FB7">
          <w:pPr>
            <w:pStyle w:val="21"/>
            <w:tabs>
              <w:tab w:val="right" w:leader="dot" w:pos="9354"/>
              <w:tab w:val="clear" w:pos="0"/>
            </w:tabs>
            <w:spacing w:after="0" w:line="360" w:lineRule="exact"/>
            <w:ind w:left="0"/>
            <w:rPr>
              <w:color w:val="000000" w:themeColor="text1"/>
              <w14:textFill>
                <w14:solidFill>
                  <w14:schemeClr w14:val="tx1"/>
                </w14:solidFill>
              </w14:textFill>
            </w:rPr>
          </w:pPr>
          <w:r>
            <w:fldChar w:fldCharType="begin"/>
          </w:r>
          <w:r>
            <w:instrText xml:space="preserve"> HYPERLINK \l "_Toc18997" </w:instrText>
          </w:r>
          <w:r>
            <w:fldChar w:fldCharType="separate"/>
          </w:r>
          <w:r>
            <w:rPr>
              <w:rFonts w:hint="eastAsia" w:asciiTheme="minorEastAsia" w:hAnsiTheme="minorEastAsia" w:cstheme="minorEastAsia"/>
              <w:color w:val="000000" w:themeColor="text1"/>
              <w:sz w:val="21"/>
              <w:szCs w:val="21"/>
              <w14:textFill>
                <w14:solidFill>
                  <w14:schemeClr w14:val="tx1"/>
                </w14:solidFill>
              </w14:textFill>
            </w:rPr>
            <w:t>4.7 检验报告</w:t>
          </w:r>
          <w:r>
            <w:rPr>
              <w:rFonts w:hint="eastAsia" w:asciiTheme="minorEastAsia" w:hAnsiTheme="minorEastAsia" w:cstheme="minorEastAsia"/>
              <w:color w:val="000000" w:themeColor="text1"/>
              <w:sz w:val="21"/>
              <w:szCs w:val="21"/>
              <w14:textFill>
                <w14:solidFill>
                  <w14:schemeClr w14:val="tx1"/>
                </w14:solidFill>
              </w14:textFill>
            </w:rPr>
            <w:tab/>
          </w:r>
          <w:r>
            <w:rPr>
              <w:rFonts w:hint="eastAsia" w:asciiTheme="minorEastAsia" w:hAnsiTheme="minorEastAsia" w:cstheme="minorEastAsia"/>
              <w:color w:val="000000" w:themeColor="text1"/>
              <w:sz w:val="21"/>
              <w:szCs w:val="21"/>
              <w14:textFill>
                <w14:solidFill>
                  <w14:schemeClr w14:val="tx1"/>
                </w14:solidFill>
              </w14:textFill>
            </w:rPr>
            <w:fldChar w:fldCharType="begin"/>
          </w:r>
          <w:r>
            <w:rPr>
              <w:rFonts w:hint="eastAsia" w:asciiTheme="minorEastAsia" w:hAnsiTheme="minorEastAsia" w:cstheme="minorEastAsia"/>
              <w:color w:val="000000" w:themeColor="text1"/>
              <w:sz w:val="21"/>
              <w:szCs w:val="21"/>
              <w14:textFill>
                <w14:solidFill>
                  <w14:schemeClr w14:val="tx1"/>
                </w14:solidFill>
              </w14:textFill>
            </w:rPr>
            <w:instrText xml:space="preserve"> PAGEREF _Toc18997 \h </w:instrText>
          </w:r>
          <w:r>
            <w:rPr>
              <w:rFonts w:hint="eastAsia" w:asciiTheme="minorEastAsia" w:hAnsiTheme="minorEastAsia" w:cstheme="minorEastAsia"/>
              <w:color w:val="000000" w:themeColor="text1"/>
              <w:sz w:val="21"/>
              <w:szCs w:val="21"/>
              <w14:textFill>
                <w14:solidFill>
                  <w14:schemeClr w14:val="tx1"/>
                </w14:solidFill>
              </w14:textFill>
            </w:rPr>
            <w:fldChar w:fldCharType="separate"/>
          </w:r>
          <w:r>
            <w:rPr>
              <w:rFonts w:asciiTheme="minorEastAsia" w:hAnsiTheme="minorEastAsia" w:cstheme="minorEastAsia"/>
              <w:color w:val="000000" w:themeColor="text1"/>
              <w:sz w:val="21"/>
              <w:szCs w:val="21"/>
              <w14:textFill>
                <w14:solidFill>
                  <w14:schemeClr w14:val="tx1"/>
                </w14:solidFill>
              </w14:textFill>
            </w:rPr>
            <w:t>6</w:t>
          </w:r>
          <w:r>
            <w:rPr>
              <w:rFonts w:hint="eastAsia" w:asciiTheme="minorEastAsia" w:hAnsiTheme="minorEastAsia" w:cstheme="minorEastAsia"/>
              <w:color w:val="000000" w:themeColor="text1"/>
              <w:sz w:val="21"/>
              <w:szCs w:val="21"/>
              <w14:textFill>
                <w14:solidFill>
                  <w14:schemeClr w14:val="tx1"/>
                </w14:solidFill>
              </w14:textFill>
            </w:rPr>
            <w:fldChar w:fldCharType="end"/>
          </w:r>
          <w:r>
            <w:rPr>
              <w:rFonts w:hint="eastAsia" w:asciiTheme="minorEastAsia" w:hAnsiTheme="minorEastAsia" w:cstheme="minorEastAsia"/>
              <w:color w:val="000000" w:themeColor="text1"/>
              <w:sz w:val="21"/>
              <w:szCs w:val="21"/>
              <w14:textFill>
                <w14:solidFill>
                  <w14:schemeClr w14:val="tx1"/>
                </w14:solidFill>
              </w14:textFill>
            </w:rPr>
            <w:fldChar w:fldCharType="end"/>
          </w:r>
        </w:p>
        <w:p w14:paraId="03B86721">
          <w:pPr>
            <w:rPr>
              <w:color w:val="000000" w:themeColor="text1"/>
              <w14:textFill>
                <w14:solidFill>
                  <w14:schemeClr w14:val="tx1"/>
                </w14:solidFill>
              </w14:textFill>
            </w:rPr>
            <w:sectPr>
              <w:headerReference r:id="rId4" w:type="default"/>
              <w:footerReference r:id="rId6" w:type="default"/>
              <w:headerReference r:id="rId5" w:type="even"/>
              <w:footerReference r:id="rId7" w:type="even"/>
              <w:pgSz w:w="11906" w:h="16838"/>
              <w:pgMar w:top="567" w:right="1134" w:bottom="1134" w:left="1418" w:header="1418" w:footer="1134" w:gutter="0"/>
              <w:pgNumType w:fmt="upperRoman" w:start="1"/>
              <w:cols w:space="0" w:num="1"/>
              <w:formProt w:val="0"/>
              <w:docGrid w:type="lines" w:linePitch="312" w:charSpace="0"/>
            </w:sectPr>
          </w:pPr>
          <w:r>
            <w:rPr>
              <w:color w:val="000000" w:themeColor="text1"/>
              <w14:textFill>
                <w14:solidFill>
                  <w14:schemeClr w14:val="tx1"/>
                </w14:solidFill>
              </w14:textFill>
            </w:rPr>
            <w:fldChar w:fldCharType="end"/>
          </w:r>
        </w:p>
      </w:sdtContent>
    </w:sdt>
    <w:p w14:paraId="5458FC88">
      <w:pPr>
        <w:pStyle w:val="49"/>
        <w:rPr>
          <w:color w:val="000000" w:themeColor="text1"/>
          <w14:textFill>
            <w14:solidFill>
              <w14:schemeClr w14:val="tx1"/>
            </w14:solidFill>
          </w14:textFill>
        </w:rPr>
      </w:pPr>
      <w:r>
        <w:rPr>
          <w:color w:val="000000" w:themeColor="text1"/>
          <w:szCs w:val="24"/>
          <w14:textFill>
            <w14:solidFill>
              <w14:schemeClr w14:val="tx1"/>
            </w14:solidFill>
          </w14:textFill>
        </w:rPr>
        <w:fldChar w:fldCharType="end"/>
      </w:r>
      <w:bookmarkEnd w:id="11"/>
      <w:bookmarkStart w:id="14" w:name="_Toc18691"/>
      <w:bookmarkStart w:id="15" w:name="_Toc165968530"/>
      <w:bookmarkStart w:id="16" w:name="_Toc153544671"/>
      <w:bookmarkStart w:id="17" w:name="_Toc26147"/>
      <w:bookmarkStart w:id="18" w:name="_Toc153543592"/>
      <w:bookmarkStart w:id="19" w:name="_Toc946"/>
      <w:r>
        <w:rPr>
          <w:color w:val="000000" w:themeColor="text1"/>
          <w14:textFill>
            <w14:solidFill>
              <w14:schemeClr w14:val="tx1"/>
            </w14:solidFill>
          </w14:textFill>
        </w:rPr>
        <w:t>前</w:t>
      </w:r>
      <w:bookmarkStart w:id="20" w:name="BKQY"/>
      <w:r>
        <w:rPr>
          <w:color w:val="000000" w:themeColor="text1"/>
          <w14:textFill>
            <w14:solidFill>
              <w14:schemeClr w14:val="tx1"/>
            </w14:solidFill>
          </w14:textFill>
        </w:rPr>
        <w:t>  言</w:t>
      </w:r>
      <w:bookmarkEnd w:id="14"/>
      <w:bookmarkEnd w:id="15"/>
      <w:bookmarkEnd w:id="16"/>
      <w:bookmarkEnd w:id="17"/>
      <w:bookmarkEnd w:id="18"/>
      <w:bookmarkEnd w:id="20"/>
    </w:p>
    <w:p w14:paraId="6C48408A">
      <w:pPr>
        <w:pStyle w:val="31"/>
      </w:pPr>
      <w:r>
        <w:rPr>
          <w:rFonts w:hint="eastAsia"/>
        </w:rPr>
        <w:t>本细则按照GB/T 1.1</w:t>
      </w:r>
      <w:r>
        <w:rPr>
          <w:szCs w:val="21"/>
        </w:rPr>
        <w:t>—</w:t>
      </w:r>
      <w:r>
        <w:rPr>
          <w:rFonts w:hint="eastAsia"/>
        </w:rPr>
        <w:t>2020《标准化工作导则 第1部分：标准化文件的结构和起草规则》的规定起草。</w:t>
      </w:r>
    </w:p>
    <w:p w14:paraId="698C34BA">
      <w:pPr>
        <w:pStyle w:val="31"/>
        <w:rPr>
          <w:color w:val="000000" w:themeColor="text1"/>
          <w14:textFill>
            <w14:solidFill>
              <w14:schemeClr w14:val="tx1"/>
            </w14:solidFill>
          </w14:textFill>
        </w:rPr>
      </w:pPr>
      <w:r>
        <w:rPr>
          <w:rFonts w:hint="eastAsia"/>
        </w:rPr>
        <w:t>本细则由国家铁路局设备监督管理司提出，由中车青岛四方车辆研究所有限公司归口。</w:t>
      </w:r>
    </w:p>
    <w:p w14:paraId="57894E64">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本细则起草单位：铁信诚认证服务（北京）有限公司、西安通号铁路信号产品检验站有限公司。</w:t>
      </w:r>
    </w:p>
    <w:p w14:paraId="49913010">
      <w:pPr>
        <w:pStyle w:val="31"/>
        <w:rPr>
          <w:color w:val="000000" w:themeColor="text1"/>
          <w14:textFill>
            <w14:solidFill>
              <w14:schemeClr w14:val="tx1"/>
            </w14:solidFill>
          </w14:textFill>
        </w:rPr>
        <w:sectPr>
          <w:headerReference r:id="rId8" w:type="default"/>
          <w:footerReference r:id="rId10" w:type="default"/>
          <w:headerReference r:id="rId9" w:type="even"/>
          <w:footerReference r:id="rId11" w:type="even"/>
          <w:pgSz w:w="11906" w:h="16838"/>
          <w:pgMar w:top="567" w:right="1134" w:bottom="1134" w:left="1417" w:header="1417" w:footer="1134" w:gutter="0"/>
          <w:cols w:space="0" w:num="1"/>
          <w:docGrid w:type="lines" w:linePitch="312" w:charSpace="0"/>
        </w:sectPr>
      </w:pPr>
      <w:r>
        <w:rPr>
          <w:rFonts w:hint="eastAsia"/>
        </w:rPr>
        <w:t>本细则及其所替代文件的历次版本发布情况：本细则为首次发布。</w:t>
      </w:r>
    </w:p>
    <w:bookmarkEnd w:id="19"/>
    <w:p w14:paraId="61EDB891">
      <w:pPr>
        <w:pStyle w:val="48"/>
        <w:rPr>
          <w:color w:val="000000" w:themeColor="text1"/>
          <w14:textFill>
            <w14:solidFill>
              <w14:schemeClr w14:val="tx1"/>
            </w14:solidFill>
          </w14:textFill>
        </w:rPr>
      </w:pPr>
      <w:bookmarkStart w:id="21" w:name="_Toc23108"/>
      <w:bookmarkStart w:id="22" w:name="_Toc165968532"/>
      <w:bookmarkStart w:id="23" w:name="_Toc19930"/>
      <w:bookmarkStart w:id="24" w:name="_Toc30020"/>
      <w:bookmarkStart w:id="25" w:name="_Toc18787"/>
      <w:r>
        <w:rPr>
          <w:rFonts w:hint="eastAsia"/>
          <w:color w:val="000000" w:themeColor="text1"/>
          <w14:textFill>
            <w14:solidFill>
              <w14:schemeClr w14:val="tx1"/>
            </w14:solidFill>
          </w14:textFill>
        </w:rPr>
        <w:t>铁路贯通地线产品检验检测细则</w:t>
      </w:r>
      <w:bookmarkEnd w:id="21"/>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bookmarkEnd w:id="22"/>
      <w:bookmarkEnd w:id="23"/>
    </w:p>
    <w:bookmarkEnd w:id="24"/>
    <w:bookmarkEnd w:id="25"/>
    <w:p w14:paraId="77CE7BF2">
      <w:pPr>
        <w:pStyle w:val="51"/>
        <w:rPr>
          <w:color w:val="000000" w:themeColor="text1"/>
          <w14:textFill>
            <w14:solidFill>
              <w14:schemeClr w14:val="tx1"/>
            </w14:solidFill>
          </w14:textFill>
        </w:rPr>
      </w:pPr>
      <w:bookmarkStart w:id="26" w:name="_Toc165968533"/>
      <w:bookmarkStart w:id="27" w:name="_Toc26945"/>
      <w:bookmarkStart w:id="28" w:name="_Toc3943"/>
      <w:bookmarkStart w:id="29" w:name="_Toc30758"/>
      <w:r>
        <w:rPr>
          <w:rFonts w:hint="eastAsia"/>
          <w:color w:val="000000" w:themeColor="text1"/>
          <w14:textFill>
            <w14:solidFill>
              <w14:schemeClr w14:val="tx1"/>
            </w14:solidFill>
          </w14:textFill>
        </w:rPr>
        <w:t>适用</w:t>
      </w:r>
      <w:r>
        <w:rPr>
          <w:color w:val="000000" w:themeColor="text1"/>
          <w14:textFill>
            <w14:solidFill>
              <w14:schemeClr w14:val="tx1"/>
            </w14:solidFill>
          </w14:textFill>
        </w:rPr>
        <w:t>范围</w:t>
      </w:r>
      <w:bookmarkEnd w:id="26"/>
      <w:bookmarkEnd w:id="27"/>
      <w:bookmarkEnd w:id="28"/>
      <w:bookmarkEnd w:id="29"/>
    </w:p>
    <w:p w14:paraId="4775FAFC">
      <w:pPr>
        <w:pStyle w:val="3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规范规定了铁路贯通地线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4DDE8E09">
      <w:pPr>
        <w:pStyle w:val="51"/>
        <w:spacing w:line="240" w:lineRule="auto"/>
        <w:outlineLvl w:val="0"/>
        <w:rPr>
          <w:rFonts w:ascii="Times New Roman"/>
        </w:rPr>
      </w:pPr>
      <w:bookmarkStart w:id="30" w:name="_Toc153542984"/>
      <w:bookmarkEnd w:id="30"/>
      <w:bookmarkStart w:id="31" w:name="_Toc153542982"/>
      <w:bookmarkEnd w:id="31"/>
      <w:bookmarkStart w:id="32" w:name="_Toc153542981"/>
      <w:bookmarkEnd w:id="32"/>
      <w:bookmarkStart w:id="33" w:name="_Toc153542983"/>
      <w:bookmarkEnd w:id="33"/>
      <w:bookmarkStart w:id="34" w:name="_Toc153542985"/>
      <w:bookmarkEnd w:id="34"/>
      <w:bookmarkStart w:id="35" w:name="_Toc153542986"/>
      <w:bookmarkEnd w:id="35"/>
      <w:bookmarkStart w:id="36" w:name="_Hlk184225708"/>
      <w:bookmarkStart w:id="37" w:name="_Toc14973"/>
      <w:r>
        <w:rPr>
          <w:rFonts w:hint="eastAsia" w:ascii="Times New Roman"/>
        </w:rPr>
        <w:t>规范性引用文件</w:t>
      </w:r>
      <w:bookmarkEnd w:id="36"/>
    </w:p>
    <w:p w14:paraId="6DFBDA7D">
      <w:pPr>
        <w:pStyle w:val="31"/>
      </w:pPr>
      <w:r>
        <w:t>TB/T</w:t>
      </w:r>
      <w:r>
        <w:rPr>
          <w:rFonts w:hint="eastAsia"/>
        </w:rPr>
        <w:t xml:space="preserve"> 3479-2017 铁路贯通地线</w:t>
      </w:r>
    </w:p>
    <w:p w14:paraId="0967A8C1">
      <w:pPr>
        <w:pStyle w:val="51"/>
      </w:pPr>
      <w:r>
        <w:rPr>
          <w:rFonts w:hint="eastAsia"/>
          <w:color w:val="000000" w:themeColor="text1"/>
          <w14:textFill>
            <w14:solidFill>
              <w14:schemeClr w14:val="tx1"/>
            </w14:solidFill>
          </w14:textFill>
        </w:rPr>
        <w:t>工厂检查</w:t>
      </w:r>
      <w:bookmarkEnd w:id="37"/>
    </w:p>
    <w:p w14:paraId="3A3103F3">
      <w:pPr>
        <w:pStyle w:val="53"/>
        <w:jc w:val="both"/>
        <w:rPr>
          <w:color w:val="000000" w:themeColor="text1"/>
          <w14:textFill>
            <w14:solidFill>
              <w14:schemeClr w14:val="tx1"/>
            </w14:solidFill>
          </w14:textFill>
        </w:rPr>
      </w:pPr>
      <w:bookmarkStart w:id="38" w:name="_Toc153542992"/>
      <w:bookmarkEnd w:id="38"/>
      <w:bookmarkStart w:id="39" w:name="_Toc153543601"/>
      <w:bookmarkEnd w:id="39"/>
      <w:bookmarkStart w:id="40" w:name="_Toc153542994"/>
      <w:bookmarkEnd w:id="40"/>
      <w:bookmarkStart w:id="41" w:name="_Toc153542995"/>
      <w:bookmarkEnd w:id="41"/>
      <w:bookmarkStart w:id="42" w:name="_Toc153542993"/>
      <w:bookmarkEnd w:id="42"/>
      <w:bookmarkStart w:id="43" w:name="_Toc153542989"/>
      <w:bookmarkEnd w:id="43"/>
      <w:bookmarkStart w:id="44" w:name="_Toc153542990"/>
      <w:bookmarkEnd w:id="44"/>
      <w:bookmarkStart w:id="45" w:name="_Toc153542991"/>
      <w:bookmarkEnd w:id="45"/>
      <w:bookmarkStart w:id="46" w:name="_Toc14560"/>
      <w:r>
        <w:rPr>
          <w:rFonts w:hint="eastAsia"/>
          <w:color w:val="000000" w:themeColor="text1"/>
          <w14:textFill>
            <w14:solidFill>
              <w14:schemeClr w14:val="tx1"/>
            </w14:solidFill>
          </w14:textFill>
        </w:rPr>
        <w:t>专业技术人员</w:t>
      </w:r>
      <w:bookmarkEnd w:id="46"/>
    </w:p>
    <w:p w14:paraId="4547073B">
      <w:pPr>
        <w:jc w:val="left"/>
        <w:rPr>
          <w:rFonts w:ascii="Times New Roman" w:hAnsi="Times New Roman"/>
          <w:kern w:val="0"/>
          <w:sz w:val="21"/>
          <w:szCs w:val="20"/>
        </w:rPr>
      </w:pPr>
      <w:bookmarkStart w:id="47" w:name="_Hlk184628791"/>
      <w:r>
        <w:rPr>
          <w:rFonts w:ascii="黑体" w:hAnsi="黑体" w:eastAsia="黑体" w:cs="黑体"/>
          <w:kern w:val="0"/>
          <w:sz w:val="21"/>
          <w:szCs w:val="21"/>
        </w:rPr>
        <w:t>3.1.1</w:t>
      </w:r>
      <w:r>
        <w:rPr>
          <w:rFonts w:hint="eastAsia" w:ascii="黑体" w:hAnsi="黑体" w:eastAsia="黑体" w:cs="黑体"/>
          <w:kern w:val="0"/>
          <w:sz w:val="21"/>
          <w:szCs w:val="21"/>
        </w:rPr>
        <w:t xml:space="preserve"> </w:t>
      </w:r>
      <w:r>
        <w:rPr>
          <w:rFonts w:hint="eastAsia" w:ascii="Times New Roman" w:hAnsi="Times New Roman"/>
          <w:kern w:val="0"/>
          <w:sz w:val="21"/>
          <w:szCs w:val="20"/>
        </w:rPr>
        <w:t>具备产品研发、设计能力的技术人员，可持续保证产品质量的工艺技术人员，生产操作人员和产品检验人员，相应人员培训、人员资质等需满足产品质量保证需求。生产企业专业技术人员应符合表</w:t>
      </w:r>
      <w:r>
        <w:rPr>
          <w:rFonts w:ascii="Times New Roman" w:hAnsi="Times New Roman"/>
          <w:kern w:val="0"/>
          <w:sz w:val="21"/>
          <w:szCs w:val="20"/>
        </w:rPr>
        <w:t>1</w:t>
      </w:r>
      <w:r>
        <w:rPr>
          <w:rFonts w:hint="eastAsia" w:ascii="Times New Roman" w:hAnsi="Times New Roman"/>
          <w:kern w:val="0"/>
          <w:sz w:val="21"/>
          <w:szCs w:val="20"/>
        </w:rPr>
        <w:t>的要求。</w:t>
      </w:r>
    </w:p>
    <w:p w14:paraId="50ED3BE6">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生产企业专业技术人员要求</w:t>
      </w:r>
    </w:p>
    <w:tbl>
      <w:tblPr>
        <w:tblStyle w:val="25"/>
        <w:tblW w:w="87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701"/>
        <w:gridCol w:w="1276"/>
        <w:gridCol w:w="850"/>
        <w:gridCol w:w="3119"/>
        <w:gridCol w:w="935"/>
      </w:tblGrid>
      <w:tr w14:paraId="54D4DB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9" w:hRule="atLeast"/>
          <w:jc w:val="center"/>
        </w:trPr>
        <w:tc>
          <w:tcPr>
            <w:tcW w:w="836" w:type="dxa"/>
            <w:vAlign w:val="center"/>
          </w:tcPr>
          <w:p w14:paraId="381FBBC0">
            <w:pPr>
              <w:rPr>
                <w:rFonts w:ascii="Times New Roman" w:hAnsi="Times New Roman"/>
              </w:rPr>
            </w:pPr>
            <w:r>
              <w:rPr>
                <w:rFonts w:hint="eastAsia" w:ascii="Times New Roman" w:hAnsi="Times New Roman"/>
              </w:rPr>
              <w:t>序号</w:t>
            </w:r>
          </w:p>
        </w:tc>
        <w:tc>
          <w:tcPr>
            <w:tcW w:w="2977" w:type="dxa"/>
            <w:gridSpan w:val="2"/>
            <w:vAlign w:val="center"/>
          </w:tcPr>
          <w:p w14:paraId="34727C62">
            <w:pPr>
              <w:rPr>
                <w:rFonts w:ascii="Times New Roman" w:hAnsi="Times New Roman"/>
              </w:rPr>
            </w:pPr>
            <w:r>
              <w:rPr>
                <w:rFonts w:hint="eastAsia" w:ascii="Times New Roman" w:hAnsi="Times New Roman"/>
              </w:rPr>
              <w:t>专业类别</w:t>
            </w:r>
          </w:p>
        </w:tc>
        <w:tc>
          <w:tcPr>
            <w:tcW w:w="3969" w:type="dxa"/>
            <w:gridSpan w:val="2"/>
            <w:vAlign w:val="center"/>
          </w:tcPr>
          <w:p w14:paraId="271A87F5">
            <w:pPr>
              <w:rPr>
                <w:rFonts w:ascii="Times New Roman" w:hAnsi="Times New Roman"/>
              </w:rPr>
            </w:pPr>
            <w:r>
              <w:rPr>
                <w:rFonts w:hint="eastAsia" w:ascii="Times New Roman" w:hAnsi="Times New Roman"/>
              </w:rPr>
              <w:t>人员要求</w:t>
            </w:r>
          </w:p>
        </w:tc>
        <w:tc>
          <w:tcPr>
            <w:tcW w:w="935" w:type="dxa"/>
            <w:vAlign w:val="center"/>
          </w:tcPr>
          <w:p w14:paraId="3FDE7900">
            <w:pPr>
              <w:rPr>
                <w:rFonts w:ascii="Times New Roman" w:hAnsi="Times New Roman"/>
              </w:rPr>
            </w:pPr>
            <w:r>
              <w:rPr>
                <w:rFonts w:hint="eastAsia" w:ascii="Times New Roman" w:hAnsi="Times New Roman"/>
              </w:rPr>
              <w:t>备注</w:t>
            </w:r>
          </w:p>
        </w:tc>
      </w:tr>
      <w:tr w14:paraId="702A09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shd w:val="clear" w:color="auto" w:fill="auto"/>
            <w:vAlign w:val="center"/>
          </w:tcPr>
          <w:p w14:paraId="04ED0A50">
            <w:pPr>
              <w:rPr>
                <w:rFonts w:ascii="Times New Roman" w:hAnsi="Times New Roman"/>
              </w:rPr>
            </w:pPr>
            <w:r>
              <w:rPr>
                <w:rFonts w:ascii="Times New Roman" w:hAnsi="Times New Roman"/>
              </w:rPr>
              <w:t>1</w:t>
            </w:r>
          </w:p>
        </w:tc>
        <w:tc>
          <w:tcPr>
            <w:tcW w:w="1701" w:type="dxa"/>
            <w:shd w:val="clear" w:color="auto" w:fill="auto"/>
            <w:vAlign w:val="center"/>
          </w:tcPr>
          <w:p w14:paraId="14B15889">
            <w:pPr>
              <w:rPr>
                <w:rFonts w:ascii="Times New Roman" w:hAnsi="Times New Roman"/>
              </w:rPr>
            </w:pPr>
            <w:r>
              <w:rPr>
                <w:rFonts w:hint="eastAsia" w:ascii="Times New Roman" w:hAnsi="Times New Roman"/>
              </w:rPr>
              <w:t>专业技术人员</w:t>
            </w:r>
          </w:p>
        </w:tc>
        <w:tc>
          <w:tcPr>
            <w:tcW w:w="1276" w:type="dxa"/>
            <w:shd w:val="clear" w:color="auto" w:fill="auto"/>
            <w:vAlign w:val="center"/>
          </w:tcPr>
          <w:p w14:paraId="729E3F75">
            <w:pPr>
              <w:rPr>
                <w:rFonts w:ascii="Times New Roman" w:hAnsi="Times New Roman"/>
              </w:rPr>
            </w:pPr>
            <w:r>
              <w:rPr>
                <w:rFonts w:hint="eastAsia"/>
              </w:rPr>
              <w:t>开发人员</w:t>
            </w:r>
          </w:p>
        </w:tc>
        <w:tc>
          <w:tcPr>
            <w:tcW w:w="850" w:type="dxa"/>
            <w:shd w:val="clear" w:color="auto" w:fill="auto"/>
            <w:vAlign w:val="center"/>
          </w:tcPr>
          <w:p w14:paraId="3BF5547B">
            <w:pPr>
              <w:rPr>
                <w:rFonts w:ascii="Times New Roman" w:hAnsi="Times New Roman"/>
              </w:rPr>
            </w:pPr>
            <w:r>
              <w:rPr>
                <w:rFonts w:ascii="Times New Roman" w:hAnsi="Times New Roman"/>
              </w:rPr>
              <w:t>2</w:t>
            </w:r>
            <w:r>
              <w:rPr>
                <w:rFonts w:hint="eastAsia" w:ascii="Times New Roman" w:hAnsi="Times New Roman"/>
              </w:rPr>
              <w:t>5人</w:t>
            </w:r>
          </w:p>
        </w:tc>
        <w:tc>
          <w:tcPr>
            <w:tcW w:w="3119" w:type="dxa"/>
            <w:shd w:val="clear" w:color="auto" w:fill="auto"/>
            <w:vAlign w:val="center"/>
          </w:tcPr>
          <w:p w14:paraId="4DB6B897">
            <w:pPr>
              <w:jc w:val="both"/>
              <w:rPr>
                <w:rFonts w:ascii="Times New Roman" w:hAnsi="Times New Roman"/>
              </w:rPr>
            </w:pPr>
            <w:r>
              <w:rPr>
                <w:rFonts w:ascii="Times New Roman" w:hAnsi="Times New Roman"/>
              </w:rPr>
              <w:t>高级人员不少于</w:t>
            </w:r>
            <w:r>
              <w:rPr>
                <w:rFonts w:hint="eastAsia" w:ascii="Times New Roman" w:hAnsi="Times New Roman"/>
              </w:rPr>
              <w:t>5</w:t>
            </w:r>
            <w:r>
              <w:rPr>
                <w:rFonts w:ascii="Times New Roman" w:hAnsi="Times New Roman"/>
              </w:rPr>
              <w:t>人，中级人员不少于</w:t>
            </w:r>
            <w:r>
              <w:rPr>
                <w:rFonts w:hint="eastAsia" w:ascii="Times New Roman" w:hAnsi="Times New Roman"/>
              </w:rPr>
              <w:t>20人</w:t>
            </w:r>
            <w:r>
              <w:rPr>
                <w:rFonts w:ascii="Times New Roman" w:hAnsi="Times New Roman"/>
              </w:rPr>
              <w:t>。</w:t>
            </w:r>
          </w:p>
        </w:tc>
        <w:tc>
          <w:tcPr>
            <w:tcW w:w="935" w:type="dxa"/>
            <w:shd w:val="clear" w:color="auto" w:fill="auto"/>
            <w:vAlign w:val="center"/>
          </w:tcPr>
          <w:p w14:paraId="75D464C0">
            <w:pPr>
              <w:rPr>
                <w:rFonts w:ascii="Times New Roman" w:hAnsi="Times New Roman"/>
              </w:rPr>
            </w:pPr>
            <w:r>
              <w:rPr>
                <w:rFonts w:hint="eastAsia" w:ascii="Times New Roman" w:hAnsi="Times New Roman"/>
              </w:rPr>
              <w:t>—</w:t>
            </w:r>
          </w:p>
        </w:tc>
      </w:tr>
      <w:tr w14:paraId="19D0DD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shd w:val="clear" w:color="auto" w:fill="auto"/>
            <w:vAlign w:val="center"/>
          </w:tcPr>
          <w:p w14:paraId="051A513F">
            <w:pPr>
              <w:rPr>
                <w:rFonts w:ascii="Times New Roman" w:hAnsi="Times New Roman"/>
              </w:rPr>
            </w:pPr>
            <w:r>
              <w:rPr>
                <w:rFonts w:hint="eastAsia" w:ascii="Times New Roman" w:hAnsi="Times New Roman"/>
              </w:rPr>
              <w:t>2</w:t>
            </w:r>
          </w:p>
        </w:tc>
        <w:tc>
          <w:tcPr>
            <w:tcW w:w="1701" w:type="dxa"/>
            <w:shd w:val="clear" w:color="auto" w:fill="auto"/>
            <w:vAlign w:val="center"/>
          </w:tcPr>
          <w:p w14:paraId="5DAB890B">
            <w:pPr>
              <w:rPr>
                <w:rFonts w:ascii="Times New Roman" w:hAnsi="Times New Roman"/>
              </w:rPr>
            </w:pPr>
            <w:r>
              <w:rPr>
                <w:rFonts w:hint="eastAsia" w:ascii="Times New Roman" w:hAnsi="Times New Roman"/>
              </w:rPr>
              <w:t>关键岗位技术工人</w:t>
            </w:r>
          </w:p>
        </w:tc>
        <w:tc>
          <w:tcPr>
            <w:tcW w:w="1276" w:type="dxa"/>
            <w:shd w:val="clear" w:color="auto" w:fill="auto"/>
            <w:vAlign w:val="center"/>
          </w:tcPr>
          <w:p w14:paraId="18B55CD1">
            <w:pPr>
              <w:rPr>
                <w:rFonts w:ascii="黑体" w:eastAsia="黑体"/>
              </w:rPr>
            </w:pPr>
            <w:r>
              <w:rPr>
                <w:rFonts w:hint="eastAsia" w:ascii="Times New Roman" w:hAnsi="Times New Roman"/>
              </w:rPr>
              <w:t>—</w:t>
            </w:r>
          </w:p>
        </w:tc>
        <w:tc>
          <w:tcPr>
            <w:tcW w:w="850" w:type="dxa"/>
            <w:shd w:val="clear" w:color="auto" w:fill="auto"/>
            <w:vAlign w:val="center"/>
          </w:tcPr>
          <w:p w14:paraId="00B66E09">
            <w:pPr>
              <w:rPr>
                <w:rFonts w:ascii="Times New Roman" w:hAnsi="Times New Roman"/>
              </w:rPr>
            </w:pPr>
            <w:r>
              <w:rPr>
                <w:rFonts w:hint="eastAsia" w:ascii="Times New Roman" w:hAnsi="Times New Roman"/>
              </w:rPr>
              <w:t>—</w:t>
            </w:r>
          </w:p>
        </w:tc>
        <w:tc>
          <w:tcPr>
            <w:tcW w:w="3119" w:type="dxa"/>
            <w:shd w:val="clear" w:color="auto" w:fill="auto"/>
            <w:vAlign w:val="center"/>
          </w:tcPr>
          <w:p w14:paraId="71A7F3E8">
            <w:pPr>
              <w:rPr>
                <w:rFonts w:ascii="Times New Roman" w:hAnsi="Times New Roman"/>
              </w:rPr>
            </w:pPr>
            <w:r>
              <w:rPr>
                <w:rFonts w:hint="eastAsia" w:ascii="Times New Roman" w:hAnsi="Times New Roman"/>
              </w:rPr>
              <w:t>—</w:t>
            </w:r>
          </w:p>
        </w:tc>
        <w:tc>
          <w:tcPr>
            <w:tcW w:w="935" w:type="dxa"/>
            <w:shd w:val="clear" w:color="auto" w:fill="auto"/>
            <w:vAlign w:val="center"/>
          </w:tcPr>
          <w:p w14:paraId="534504AA">
            <w:pPr>
              <w:rPr>
                <w:rFonts w:ascii="Times New Roman" w:hAnsi="Times New Roman"/>
              </w:rPr>
            </w:pPr>
            <w:r>
              <w:rPr>
                <w:rFonts w:hint="eastAsia" w:ascii="Times New Roman" w:hAnsi="Times New Roman"/>
              </w:rPr>
              <w:t>—</w:t>
            </w:r>
          </w:p>
        </w:tc>
      </w:tr>
    </w:tbl>
    <w:p w14:paraId="7CBC2543">
      <w:pPr>
        <w:pStyle w:val="54"/>
        <w:numPr>
          <w:ilvl w:val="2"/>
          <w:numId w:val="0"/>
        </w:numPr>
        <w:tabs>
          <w:tab w:val="center" w:pos="4201"/>
          <w:tab w:val="right" w:leader="dot" w:pos="9298"/>
        </w:tabs>
        <w:spacing w:beforeLines="50" w:afterLines="50"/>
        <w:rPr>
          <w:rFonts w:ascii="宋体" w:hAnsi="宋体" w:eastAsia="黑体" w:cs="黑体"/>
        </w:rPr>
      </w:pPr>
      <w:r>
        <w:rPr>
          <w:rFonts w:ascii="黑体" w:hAnsi="黑体" w:eastAsia="黑体" w:cs="黑体"/>
        </w:rPr>
        <w:t>3.1.2</w:t>
      </w:r>
      <w:r>
        <w:rPr>
          <w:rFonts w:hint="eastAsia" w:ascii="黑体" w:hAnsi="黑体" w:eastAsia="黑体" w:cs="黑体"/>
        </w:rPr>
        <w:t xml:space="preserve"> </w:t>
      </w:r>
      <w:r>
        <w:rPr>
          <w:rFonts w:hint="eastAsia" w:ascii="宋体" w:hAnsi="宋体" w:eastAsia="宋体" w:cs="黑体"/>
        </w:rPr>
        <w:t>专业技术人员能力应与企业委托产品范围相一致。专业要求中，可以是所学专业并获得相应技术职称，或者所从事专业并获得相关技术职称。</w:t>
      </w:r>
      <w:r>
        <w:rPr>
          <w:rFonts w:hint="eastAsia" w:ascii="Times New Roman" w:hAnsi="Times New Roman" w:eastAsia="宋体"/>
          <w:szCs w:val="20"/>
        </w:rPr>
        <w:t>专业技术人员应当是符合法律规定的适龄的注册在职人员，由本企业缴纳社会保险。</w:t>
      </w:r>
    </w:p>
    <w:p w14:paraId="58EE85BB">
      <w:pPr>
        <w:pStyle w:val="54"/>
        <w:numPr>
          <w:ilvl w:val="2"/>
          <w:numId w:val="0"/>
        </w:numPr>
        <w:tabs>
          <w:tab w:val="center" w:pos="4201"/>
          <w:tab w:val="right" w:leader="dot" w:pos="9298"/>
        </w:tabs>
        <w:spacing w:beforeLines="50" w:afterLines="50"/>
        <w:jc w:val="both"/>
        <w:rPr>
          <w:rFonts w:ascii="宋体" w:hAnsi="宋体" w:eastAsia="黑体" w:cs="黑体"/>
        </w:rPr>
      </w:pPr>
      <w:r>
        <w:rPr>
          <w:rFonts w:ascii="黑体" w:hAnsi="黑体" w:eastAsia="黑体" w:cs="黑体"/>
        </w:rPr>
        <w:t>3.1.3</w:t>
      </w:r>
      <w:r>
        <w:rPr>
          <w:rFonts w:hint="eastAsia" w:ascii="黑体" w:hAnsi="黑体" w:eastAsia="黑体" w:cs="黑体"/>
        </w:rPr>
        <w:t xml:space="preserve"> </w:t>
      </w:r>
      <w:r>
        <w:rPr>
          <w:rFonts w:hint="eastAsia" w:ascii="Times New Roman" w:hAnsi="Times New Roman" w:eastAsia="宋体"/>
          <w:szCs w:val="20"/>
        </w:rPr>
        <w:t>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0571507B">
      <w:pPr>
        <w:spacing w:line="360" w:lineRule="exact"/>
        <w:jc w:val="both"/>
        <w:rPr>
          <w:color w:val="000000" w:themeColor="text1"/>
          <w14:textFill>
            <w14:solidFill>
              <w14:schemeClr w14:val="tx1"/>
            </w14:solidFill>
          </w14:textFill>
        </w:rPr>
      </w:pPr>
      <w:r>
        <w:rPr>
          <w:rFonts w:ascii="黑体" w:hAnsi="黑体" w:eastAsia="黑体" w:cs="黑体"/>
          <w:kern w:val="0"/>
          <w:sz w:val="21"/>
          <w:szCs w:val="21"/>
        </w:rPr>
        <w:t>3.1.4</w:t>
      </w:r>
      <w:r>
        <w:rPr>
          <w:rFonts w:hint="eastAsia" w:ascii="黑体" w:hAnsi="黑体" w:eastAsia="黑体" w:cs="黑体"/>
          <w:kern w:val="0"/>
          <w:sz w:val="21"/>
          <w:szCs w:val="21"/>
        </w:rPr>
        <w:t xml:space="preserve"> </w:t>
      </w:r>
      <w:r>
        <w:rPr>
          <w:rFonts w:hint="eastAsia" w:cs="黑体"/>
          <w:kern w:val="0"/>
          <w:sz w:val="21"/>
          <w:szCs w:val="21"/>
        </w:rPr>
        <w:t>允许高级人员代中级人员。</w:t>
      </w:r>
      <w:bookmarkEnd w:id="47"/>
    </w:p>
    <w:p w14:paraId="672931EF">
      <w:pPr>
        <w:pStyle w:val="53"/>
        <w:rPr>
          <w:color w:val="000000" w:themeColor="text1"/>
          <w14:textFill>
            <w14:solidFill>
              <w14:schemeClr w14:val="tx1"/>
            </w14:solidFill>
          </w14:textFill>
        </w:rPr>
      </w:pPr>
      <w:bookmarkStart w:id="48" w:name="_Toc153543001"/>
      <w:bookmarkEnd w:id="48"/>
      <w:bookmarkStart w:id="49" w:name="_Toc153542998"/>
      <w:bookmarkEnd w:id="49"/>
      <w:bookmarkStart w:id="50" w:name="_Toc153543002"/>
      <w:bookmarkEnd w:id="50"/>
      <w:bookmarkStart w:id="51" w:name="_Toc153543000"/>
      <w:bookmarkEnd w:id="51"/>
      <w:bookmarkStart w:id="52" w:name="_Toc153543004"/>
      <w:bookmarkEnd w:id="52"/>
      <w:bookmarkStart w:id="53" w:name="_Toc153542999"/>
      <w:bookmarkEnd w:id="53"/>
      <w:bookmarkStart w:id="54" w:name="_Toc153543003"/>
      <w:bookmarkEnd w:id="54"/>
      <w:bookmarkStart w:id="55" w:name="_Toc24934"/>
      <w:r>
        <w:rPr>
          <w:rFonts w:hint="eastAsia"/>
          <w:color w:val="000000" w:themeColor="text1"/>
          <w14:textFill>
            <w14:solidFill>
              <w14:schemeClr w14:val="tx1"/>
            </w14:solidFill>
          </w14:textFill>
        </w:rPr>
        <w:t>生产设备工装和监视测量设备</w:t>
      </w:r>
      <w:bookmarkEnd w:id="55"/>
    </w:p>
    <w:p w14:paraId="638BFABA">
      <w:pPr>
        <w:pStyle w:val="31"/>
        <w:jc w:val="both"/>
        <w:rPr>
          <w:color w:val="000000" w:themeColor="text1"/>
          <w14:textFill>
            <w14:solidFill>
              <w14:schemeClr w14:val="tx1"/>
            </w14:solidFill>
          </w14:textFill>
        </w:rPr>
      </w:pPr>
      <w:bookmarkStart w:id="56" w:name="_Hlk184645805"/>
      <w:r>
        <w:rPr>
          <w:rFonts w:hint="eastAsia"/>
        </w:rPr>
        <w:t>具备保证产品质量的必备生产设备、工艺装备、计量器具和检验检测手段应符合表</w:t>
      </w:r>
      <w:r>
        <w:t>2</w:t>
      </w:r>
      <w:r>
        <w:rPr>
          <w:rFonts w:hint="eastAsia"/>
        </w:rPr>
        <w:t>的要求</w:t>
      </w:r>
      <w:r>
        <w:rPr>
          <w:rFonts w:hint="eastAsia"/>
          <w:color w:val="000000" w:themeColor="text1"/>
          <w14:textFill>
            <w14:solidFill>
              <w14:schemeClr w14:val="tx1"/>
            </w14:solidFill>
          </w14:textFill>
        </w:rPr>
        <w:t>。</w:t>
      </w:r>
    </w:p>
    <w:p w14:paraId="5F52AE93">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表2  生产设备、工艺装备、计量器具和检验检测设备</w:t>
      </w:r>
    </w:p>
    <w:tbl>
      <w:tblPr>
        <w:tblStyle w:val="25"/>
        <w:tblW w:w="95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051"/>
        <w:gridCol w:w="2131"/>
        <w:gridCol w:w="1886"/>
        <w:gridCol w:w="1886"/>
        <w:gridCol w:w="1887"/>
      </w:tblGrid>
      <w:tr w14:paraId="358AEF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30" w:type="dxa"/>
            <w:vMerge w:val="restart"/>
            <w:tcBorders>
              <w:tl2br w:val="nil"/>
              <w:tr2bl w:val="nil"/>
            </w:tcBorders>
            <w:vAlign w:val="center"/>
          </w:tcPr>
          <w:p w14:paraId="02001393">
            <w:pP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1051" w:type="dxa"/>
            <w:vMerge w:val="restart"/>
            <w:tcBorders>
              <w:tl2br w:val="nil"/>
              <w:tr2bl w:val="nil"/>
            </w:tcBorders>
            <w:vAlign w:val="center"/>
          </w:tcPr>
          <w:p w14:paraId="57FB9D88">
            <w:pPr>
              <w:rPr>
                <w:color w:val="000000" w:themeColor="text1"/>
                <w14:textFill>
                  <w14:solidFill>
                    <w14:schemeClr w14:val="tx1"/>
                  </w14:solidFill>
                </w14:textFill>
              </w:rPr>
            </w:pPr>
            <w:r>
              <w:rPr>
                <w:rFonts w:hint="eastAsia"/>
                <w:color w:val="000000" w:themeColor="text1"/>
                <w14:textFill>
                  <w14:solidFill>
                    <w14:schemeClr w14:val="tx1"/>
                  </w14:solidFill>
                </w14:textFill>
              </w:rPr>
              <w:t>工艺类别</w:t>
            </w:r>
          </w:p>
        </w:tc>
        <w:tc>
          <w:tcPr>
            <w:tcW w:w="2131" w:type="dxa"/>
            <w:vMerge w:val="restart"/>
            <w:tcBorders>
              <w:tl2br w:val="nil"/>
              <w:tr2bl w:val="nil"/>
            </w:tcBorders>
            <w:vAlign w:val="center"/>
          </w:tcPr>
          <w:p w14:paraId="6AD74DE9">
            <w:pPr>
              <w:rPr>
                <w:color w:val="000000" w:themeColor="text1"/>
                <w14:textFill>
                  <w14:solidFill>
                    <w14:schemeClr w14:val="tx1"/>
                  </w14:solidFill>
                </w14:textFill>
              </w:rPr>
            </w:pPr>
            <w:r>
              <w:rPr>
                <w:rFonts w:hint="eastAsia"/>
                <w:color w:val="000000" w:themeColor="text1"/>
                <w14:textFill>
                  <w14:solidFill>
                    <w14:schemeClr w14:val="tx1"/>
                  </w14:solidFill>
                </w14:textFill>
              </w:rPr>
              <w:t>设备名称</w:t>
            </w:r>
          </w:p>
        </w:tc>
        <w:tc>
          <w:tcPr>
            <w:tcW w:w="3772" w:type="dxa"/>
            <w:gridSpan w:val="2"/>
            <w:tcBorders>
              <w:tl2br w:val="nil"/>
              <w:tr2bl w:val="nil"/>
            </w:tcBorders>
            <w:vAlign w:val="center"/>
          </w:tcPr>
          <w:p w14:paraId="5AAF4A10">
            <w:pPr>
              <w:rPr>
                <w:color w:val="000000" w:themeColor="text1"/>
                <w14:textFill>
                  <w14:solidFill>
                    <w14:schemeClr w14:val="tx1"/>
                  </w14:solidFill>
                </w14:textFill>
              </w:rPr>
            </w:pPr>
            <w:r>
              <w:rPr>
                <w:rFonts w:hint="eastAsia"/>
                <w:color w:val="000000" w:themeColor="text1"/>
                <w14:textFill>
                  <w14:solidFill>
                    <w14:schemeClr w14:val="tx1"/>
                  </w14:solidFill>
                </w14:textFill>
              </w:rPr>
              <w:t>规格</w:t>
            </w:r>
          </w:p>
        </w:tc>
        <w:tc>
          <w:tcPr>
            <w:tcW w:w="1887" w:type="dxa"/>
            <w:vMerge w:val="restart"/>
            <w:tcBorders>
              <w:tl2br w:val="nil"/>
              <w:tr2bl w:val="nil"/>
            </w:tcBorders>
            <w:vAlign w:val="center"/>
          </w:tcPr>
          <w:p w14:paraId="612A79AE">
            <w:pPr>
              <w:rPr>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14:paraId="054DF1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30" w:type="dxa"/>
            <w:vMerge w:val="continue"/>
            <w:tcBorders>
              <w:bottom w:val="single" w:color="auto" w:sz="8" w:space="0"/>
              <w:tl2br w:val="nil"/>
              <w:tr2bl w:val="nil"/>
            </w:tcBorders>
            <w:vAlign w:val="center"/>
          </w:tcPr>
          <w:p w14:paraId="2E05E7C4">
            <w:pPr>
              <w:rPr>
                <w:color w:val="000000" w:themeColor="text1"/>
                <w14:textFill>
                  <w14:solidFill>
                    <w14:schemeClr w14:val="tx1"/>
                  </w14:solidFill>
                </w14:textFill>
              </w:rPr>
            </w:pPr>
          </w:p>
        </w:tc>
        <w:tc>
          <w:tcPr>
            <w:tcW w:w="1051" w:type="dxa"/>
            <w:vMerge w:val="continue"/>
            <w:tcBorders>
              <w:bottom w:val="single" w:color="auto" w:sz="8" w:space="0"/>
              <w:tl2br w:val="nil"/>
              <w:tr2bl w:val="nil"/>
            </w:tcBorders>
            <w:vAlign w:val="center"/>
          </w:tcPr>
          <w:p w14:paraId="339904F3">
            <w:pPr>
              <w:rPr>
                <w:color w:val="000000" w:themeColor="text1"/>
                <w14:textFill>
                  <w14:solidFill>
                    <w14:schemeClr w14:val="tx1"/>
                  </w14:solidFill>
                </w14:textFill>
              </w:rPr>
            </w:pPr>
          </w:p>
        </w:tc>
        <w:tc>
          <w:tcPr>
            <w:tcW w:w="2131" w:type="dxa"/>
            <w:vMerge w:val="continue"/>
            <w:tcBorders>
              <w:bottom w:val="single" w:color="auto" w:sz="8" w:space="0"/>
              <w:tl2br w:val="nil"/>
              <w:tr2bl w:val="nil"/>
            </w:tcBorders>
            <w:vAlign w:val="center"/>
          </w:tcPr>
          <w:p w14:paraId="105FA157">
            <w:pPr>
              <w:rPr>
                <w:color w:val="000000" w:themeColor="text1"/>
                <w14:textFill>
                  <w14:solidFill>
                    <w14:schemeClr w14:val="tx1"/>
                  </w14:solidFill>
                </w14:textFill>
              </w:rPr>
            </w:pPr>
          </w:p>
        </w:tc>
        <w:tc>
          <w:tcPr>
            <w:tcW w:w="1886" w:type="dxa"/>
            <w:tcBorders>
              <w:bottom w:val="single" w:color="auto" w:sz="8" w:space="0"/>
              <w:tl2br w:val="nil"/>
              <w:tr2bl w:val="nil"/>
            </w:tcBorders>
            <w:vAlign w:val="center"/>
          </w:tcPr>
          <w:p w14:paraId="3FBD4FE3">
            <w:pPr>
              <w:rPr>
                <w:color w:val="000000" w:themeColor="text1"/>
                <w14:textFill>
                  <w14:solidFill>
                    <w14:schemeClr w14:val="tx1"/>
                  </w14:solidFill>
                </w14:textFill>
              </w:rPr>
            </w:pPr>
            <w:r>
              <w:rPr>
                <w:rFonts w:hint="eastAsia"/>
                <w:color w:val="000000" w:themeColor="text1"/>
                <w14:textFill>
                  <w14:solidFill>
                    <w14:schemeClr w14:val="tx1"/>
                  </w14:solidFill>
                </w14:textFill>
              </w:rPr>
              <w:t>量程</w:t>
            </w:r>
          </w:p>
        </w:tc>
        <w:tc>
          <w:tcPr>
            <w:tcW w:w="1886" w:type="dxa"/>
            <w:tcBorders>
              <w:bottom w:val="single" w:color="auto" w:sz="8" w:space="0"/>
              <w:tl2br w:val="nil"/>
              <w:tr2bl w:val="nil"/>
            </w:tcBorders>
            <w:vAlign w:val="center"/>
          </w:tcPr>
          <w:p w14:paraId="5CAE83AA">
            <w:pPr>
              <w:rPr>
                <w:color w:val="000000" w:themeColor="text1"/>
                <w14:textFill>
                  <w14:solidFill>
                    <w14:schemeClr w14:val="tx1"/>
                  </w14:solidFill>
                </w14:textFill>
              </w:rPr>
            </w:pPr>
            <w:r>
              <w:rPr>
                <w:rFonts w:hint="eastAsia"/>
                <w:color w:val="000000" w:themeColor="text1"/>
                <w14:textFill>
                  <w14:solidFill>
                    <w14:schemeClr w14:val="tx1"/>
                  </w14:solidFill>
                </w14:textFill>
              </w:rPr>
              <w:t>准确度/分度值</w:t>
            </w:r>
          </w:p>
        </w:tc>
        <w:tc>
          <w:tcPr>
            <w:tcW w:w="1887" w:type="dxa"/>
            <w:vMerge w:val="continue"/>
            <w:tcBorders>
              <w:bottom w:val="single" w:color="auto" w:sz="8" w:space="0"/>
              <w:tl2br w:val="nil"/>
              <w:tr2bl w:val="nil"/>
            </w:tcBorders>
            <w:vAlign w:val="center"/>
          </w:tcPr>
          <w:p w14:paraId="2DFE068C">
            <w:pPr>
              <w:rPr>
                <w:color w:val="000000" w:themeColor="text1"/>
                <w14:textFill>
                  <w14:solidFill>
                    <w14:schemeClr w14:val="tx1"/>
                  </w14:solidFill>
                </w14:textFill>
              </w:rPr>
            </w:pPr>
          </w:p>
        </w:tc>
      </w:tr>
      <w:tr w14:paraId="1C7EA3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0" w:type="dxa"/>
            <w:tcBorders>
              <w:top w:val="single" w:color="auto" w:sz="8" w:space="0"/>
            </w:tcBorders>
            <w:vAlign w:val="center"/>
          </w:tcPr>
          <w:p w14:paraId="1A23FD39">
            <w:pPr>
              <w:rPr>
                <w:color w:val="000000" w:themeColor="text1"/>
                <w14:textFill>
                  <w14:solidFill>
                    <w14:schemeClr w14:val="tx1"/>
                  </w14:solidFill>
                </w14:textFill>
              </w:rPr>
            </w:pPr>
            <w:r>
              <w:rPr>
                <w:color w:val="000000" w:themeColor="text1"/>
                <w14:textFill>
                  <w14:solidFill>
                    <w14:schemeClr w14:val="tx1"/>
                  </w14:solidFill>
                </w14:textFill>
              </w:rPr>
              <w:t>1</w:t>
            </w:r>
          </w:p>
        </w:tc>
        <w:tc>
          <w:tcPr>
            <w:tcW w:w="1051" w:type="dxa"/>
            <w:vMerge w:val="restart"/>
            <w:tcBorders>
              <w:top w:val="single" w:color="auto" w:sz="8" w:space="0"/>
            </w:tcBorders>
            <w:vAlign w:val="center"/>
          </w:tcPr>
          <w:p w14:paraId="71B63438">
            <w:pPr>
              <w:rPr>
                <w:bCs/>
                <w:color w:val="000000" w:themeColor="text1"/>
                <w14:textFill>
                  <w14:solidFill>
                    <w14:schemeClr w14:val="tx1"/>
                  </w14:solidFill>
                </w14:textFill>
              </w:rPr>
            </w:pPr>
            <w:r>
              <w:rPr>
                <w:rFonts w:hint="eastAsia"/>
                <w:bCs/>
                <w:color w:val="000000" w:themeColor="text1"/>
                <w14:textFill>
                  <w14:solidFill>
                    <w14:schemeClr w14:val="tx1"/>
                  </w14:solidFill>
                </w14:textFill>
              </w:rPr>
              <w:t>生产设备、工艺装备</w:t>
            </w:r>
          </w:p>
        </w:tc>
        <w:tc>
          <w:tcPr>
            <w:tcW w:w="2131" w:type="dxa"/>
            <w:tcBorders>
              <w:top w:val="single" w:color="auto" w:sz="8" w:space="0"/>
            </w:tcBorders>
            <w:shd w:val="clear" w:color="auto" w:fill="auto"/>
            <w:vAlign w:val="center"/>
          </w:tcPr>
          <w:p w14:paraId="75FE313E">
            <w:pPr>
              <w:adjustRightInd w:val="0"/>
              <w:snapToGrid w:val="0"/>
              <w:rPr>
                <w:color w:val="000000" w:themeColor="text1"/>
                <w:kern w:val="0"/>
                <w14:textFill>
                  <w14:solidFill>
                    <w14:schemeClr w14:val="tx1"/>
                  </w14:solidFill>
                </w14:textFill>
              </w:rPr>
            </w:pPr>
            <w:r>
              <w:rPr>
                <w:color w:val="000000" w:themeColor="text1"/>
                <w:kern w:val="0"/>
                <w14:textFill>
                  <w14:solidFill>
                    <w14:schemeClr w14:val="tx1"/>
                  </w14:solidFill>
                </w14:textFill>
              </w:rPr>
              <w:t>导体拉丝生产线</w:t>
            </w:r>
          </w:p>
        </w:tc>
        <w:tc>
          <w:tcPr>
            <w:tcW w:w="1886" w:type="dxa"/>
            <w:tcBorders>
              <w:top w:val="single" w:color="auto" w:sz="8" w:space="0"/>
            </w:tcBorders>
            <w:shd w:val="clear" w:color="auto" w:fill="auto"/>
            <w:vAlign w:val="center"/>
          </w:tcPr>
          <w:p w14:paraId="33B3FCC1">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满足生产工艺要求</w:t>
            </w:r>
          </w:p>
        </w:tc>
        <w:tc>
          <w:tcPr>
            <w:tcW w:w="1886" w:type="dxa"/>
            <w:tcBorders>
              <w:top w:val="single" w:color="auto" w:sz="8" w:space="0"/>
            </w:tcBorders>
            <w:shd w:val="clear" w:color="auto" w:fill="auto"/>
            <w:vAlign w:val="center"/>
          </w:tcPr>
          <w:p w14:paraId="1AF43AE1">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1887" w:type="dxa"/>
            <w:tcBorders>
              <w:top w:val="single" w:color="auto" w:sz="8" w:space="0"/>
            </w:tcBorders>
            <w:shd w:val="clear" w:color="auto" w:fill="auto"/>
            <w:vAlign w:val="center"/>
          </w:tcPr>
          <w:p w14:paraId="26837726">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141D36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0" w:type="dxa"/>
            <w:vAlign w:val="center"/>
          </w:tcPr>
          <w:p w14:paraId="4144F6EA">
            <w:pPr>
              <w:rPr>
                <w:color w:val="000000" w:themeColor="text1"/>
                <w14:textFill>
                  <w14:solidFill>
                    <w14:schemeClr w14:val="tx1"/>
                  </w14:solidFill>
                </w14:textFill>
              </w:rPr>
            </w:pPr>
            <w:r>
              <w:rPr>
                <w:color w:val="000000" w:themeColor="text1"/>
                <w14:textFill>
                  <w14:solidFill>
                    <w14:schemeClr w14:val="tx1"/>
                  </w14:solidFill>
                </w14:textFill>
              </w:rPr>
              <w:t>2</w:t>
            </w:r>
          </w:p>
        </w:tc>
        <w:tc>
          <w:tcPr>
            <w:tcW w:w="1051" w:type="dxa"/>
            <w:vMerge w:val="continue"/>
            <w:vAlign w:val="center"/>
          </w:tcPr>
          <w:p w14:paraId="0DC14541">
            <w:pPr>
              <w:rPr>
                <w:color w:val="000000" w:themeColor="text1"/>
                <w14:textFill>
                  <w14:solidFill>
                    <w14:schemeClr w14:val="tx1"/>
                  </w14:solidFill>
                </w14:textFill>
              </w:rPr>
            </w:pPr>
          </w:p>
        </w:tc>
        <w:tc>
          <w:tcPr>
            <w:tcW w:w="2131" w:type="dxa"/>
            <w:shd w:val="clear" w:color="auto" w:fill="auto"/>
            <w:vAlign w:val="center"/>
          </w:tcPr>
          <w:p w14:paraId="4A8A84B6">
            <w:pPr>
              <w:adjustRightInd w:val="0"/>
              <w:snapToGrid w:val="0"/>
              <w:rPr>
                <w:color w:val="000000" w:themeColor="text1"/>
                <w:kern w:val="0"/>
                <w14:textFill>
                  <w14:solidFill>
                    <w14:schemeClr w14:val="tx1"/>
                  </w14:solidFill>
                </w14:textFill>
              </w:rPr>
            </w:pPr>
            <w:r>
              <w:rPr>
                <w:color w:val="000000" w:themeColor="text1"/>
                <w:kern w:val="0"/>
                <w14:textFill>
                  <w14:solidFill>
                    <w14:schemeClr w14:val="tx1"/>
                  </w14:solidFill>
                </w14:textFill>
              </w:rPr>
              <w:t>绞线机</w:t>
            </w:r>
          </w:p>
        </w:tc>
        <w:tc>
          <w:tcPr>
            <w:tcW w:w="1886" w:type="dxa"/>
            <w:shd w:val="clear" w:color="auto" w:fill="auto"/>
            <w:vAlign w:val="center"/>
          </w:tcPr>
          <w:p w14:paraId="3F121980">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满足生产工艺要求</w:t>
            </w:r>
          </w:p>
        </w:tc>
        <w:tc>
          <w:tcPr>
            <w:tcW w:w="1886" w:type="dxa"/>
            <w:shd w:val="clear" w:color="auto" w:fill="auto"/>
            <w:vAlign w:val="center"/>
          </w:tcPr>
          <w:p w14:paraId="3469261B">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1887" w:type="dxa"/>
            <w:shd w:val="clear" w:color="auto" w:fill="auto"/>
            <w:vAlign w:val="center"/>
          </w:tcPr>
          <w:p w14:paraId="40E7B525">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354EC3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0" w:type="dxa"/>
            <w:shd w:val="clear" w:color="auto" w:fill="auto"/>
            <w:vAlign w:val="center"/>
          </w:tcPr>
          <w:p w14:paraId="3FBC6E06">
            <w:pP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051" w:type="dxa"/>
            <w:vMerge w:val="continue"/>
            <w:vAlign w:val="center"/>
          </w:tcPr>
          <w:p w14:paraId="3AD5B1E6">
            <w:pPr>
              <w:rPr>
                <w:color w:val="000000" w:themeColor="text1"/>
                <w14:textFill>
                  <w14:solidFill>
                    <w14:schemeClr w14:val="tx1"/>
                  </w14:solidFill>
                </w14:textFill>
              </w:rPr>
            </w:pPr>
          </w:p>
        </w:tc>
        <w:tc>
          <w:tcPr>
            <w:tcW w:w="2131" w:type="dxa"/>
            <w:shd w:val="clear" w:color="auto" w:fill="auto"/>
            <w:vAlign w:val="center"/>
          </w:tcPr>
          <w:p w14:paraId="3316969A">
            <w:pPr>
              <w:adjustRightInd w:val="0"/>
              <w:snapToGrid w:val="0"/>
              <w:rPr>
                <w:color w:val="000000" w:themeColor="text1"/>
                <w:kern w:val="0"/>
                <w14:textFill>
                  <w14:solidFill>
                    <w14:schemeClr w14:val="tx1"/>
                  </w14:solidFill>
                </w14:textFill>
              </w:rPr>
            </w:pPr>
            <w:r>
              <w:rPr>
                <w:color w:val="000000" w:themeColor="text1"/>
                <w:kern w:val="0"/>
                <w14:textFill>
                  <w14:solidFill>
                    <w14:schemeClr w14:val="tx1"/>
                  </w14:solidFill>
                </w14:textFill>
              </w:rPr>
              <w:t>护套成型设备</w:t>
            </w:r>
          </w:p>
        </w:tc>
        <w:tc>
          <w:tcPr>
            <w:tcW w:w="1886" w:type="dxa"/>
            <w:shd w:val="clear" w:color="auto" w:fill="auto"/>
            <w:vAlign w:val="center"/>
          </w:tcPr>
          <w:p w14:paraId="049C67D1">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满足生产工艺要求</w:t>
            </w:r>
          </w:p>
        </w:tc>
        <w:tc>
          <w:tcPr>
            <w:tcW w:w="1886" w:type="dxa"/>
            <w:shd w:val="clear" w:color="auto" w:fill="auto"/>
            <w:vAlign w:val="center"/>
          </w:tcPr>
          <w:p w14:paraId="7F47768B">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w:t>
            </w:r>
          </w:p>
        </w:tc>
        <w:tc>
          <w:tcPr>
            <w:tcW w:w="1887" w:type="dxa"/>
            <w:shd w:val="clear" w:color="auto" w:fill="auto"/>
            <w:vAlign w:val="center"/>
          </w:tcPr>
          <w:p w14:paraId="739BA67B">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满足月产400 km</w:t>
            </w:r>
          </w:p>
        </w:tc>
      </w:tr>
      <w:tr w14:paraId="46E69E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0" w:type="dxa"/>
            <w:shd w:val="clear" w:color="auto" w:fill="auto"/>
            <w:vAlign w:val="center"/>
          </w:tcPr>
          <w:p w14:paraId="29B99651">
            <w:pP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051" w:type="dxa"/>
            <w:vMerge w:val="continue"/>
            <w:vAlign w:val="center"/>
          </w:tcPr>
          <w:p w14:paraId="4FC85FEA">
            <w:pPr>
              <w:rPr>
                <w:color w:val="000000" w:themeColor="text1"/>
                <w14:textFill>
                  <w14:solidFill>
                    <w14:schemeClr w14:val="tx1"/>
                  </w14:solidFill>
                </w14:textFill>
              </w:rPr>
            </w:pPr>
          </w:p>
        </w:tc>
        <w:tc>
          <w:tcPr>
            <w:tcW w:w="2131" w:type="dxa"/>
            <w:shd w:val="clear" w:color="auto" w:fill="auto"/>
            <w:vAlign w:val="center"/>
          </w:tcPr>
          <w:p w14:paraId="55148094">
            <w:pPr>
              <w:adjustRightInd w:val="0"/>
              <w:snapToGrid w:val="0"/>
              <w:rPr>
                <w:color w:val="000000" w:themeColor="text1"/>
                <w:kern w:val="0"/>
                <w14:textFill>
                  <w14:solidFill>
                    <w14:schemeClr w14:val="tx1"/>
                  </w14:solidFill>
                </w14:textFill>
              </w:rPr>
            </w:pPr>
            <w:r>
              <w:rPr>
                <w:color w:val="000000" w:themeColor="text1"/>
                <w:kern w:val="0"/>
                <w14:textFill>
                  <w14:solidFill>
                    <w14:schemeClr w14:val="tx1"/>
                  </w14:solidFill>
                </w14:textFill>
              </w:rPr>
              <w:t>热处理设备</w:t>
            </w:r>
          </w:p>
        </w:tc>
        <w:tc>
          <w:tcPr>
            <w:tcW w:w="1886" w:type="dxa"/>
            <w:shd w:val="clear" w:color="auto" w:fill="auto"/>
            <w:vAlign w:val="center"/>
          </w:tcPr>
          <w:p w14:paraId="0E958F2D">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满足生产工艺要求</w:t>
            </w:r>
          </w:p>
        </w:tc>
        <w:tc>
          <w:tcPr>
            <w:tcW w:w="1886" w:type="dxa"/>
            <w:shd w:val="clear" w:color="auto" w:fill="auto"/>
            <w:vAlign w:val="center"/>
          </w:tcPr>
          <w:p w14:paraId="1AA269EC">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±5 ℃</w:t>
            </w:r>
          </w:p>
        </w:tc>
        <w:tc>
          <w:tcPr>
            <w:tcW w:w="1887" w:type="dxa"/>
            <w:shd w:val="clear" w:color="auto" w:fill="auto"/>
            <w:vAlign w:val="center"/>
          </w:tcPr>
          <w:p w14:paraId="63C63B87">
            <w:pPr>
              <w:rPr>
                <w:bCs/>
                <w:color w:val="000000" w:themeColor="text1"/>
                <w:szCs w:val="24"/>
                <w14:textFill>
                  <w14:solidFill>
                    <w14:schemeClr w14:val="tx1"/>
                  </w14:solidFill>
                </w14:textFill>
              </w:rPr>
            </w:pPr>
            <w:r>
              <w:rPr>
                <w:rFonts w:hint="eastAsia"/>
                <w:bCs/>
                <w:color w:val="000000" w:themeColor="text1"/>
                <w:szCs w:val="24"/>
                <w14:textFill>
                  <w14:solidFill>
                    <w14:schemeClr w14:val="tx1"/>
                  </w14:solidFill>
                </w14:textFill>
              </w:rPr>
              <w:t>两台及以上设备满足月产400 km，单台设备满足月产600 km。</w:t>
            </w:r>
          </w:p>
        </w:tc>
      </w:tr>
      <w:tr w14:paraId="0FFA28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0" w:type="dxa"/>
            <w:vAlign w:val="center"/>
          </w:tcPr>
          <w:p w14:paraId="184C5983">
            <w:pP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051" w:type="dxa"/>
            <w:vMerge w:val="restart"/>
            <w:vAlign w:val="center"/>
          </w:tcPr>
          <w:p w14:paraId="4412B90D">
            <w:pPr>
              <w:rPr>
                <w:color w:val="000000" w:themeColor="text1"/>
                <w14:textFill>
                  <w14:solidFill>
                    <w14:schemeClr w14:val="tx1"/>
                  </w14:solidFill>
                </w14:textFill>
              </w:rPr>
            </w:pPr>
            <w:r>
              <w:rPr>
                <w:rFonts w:hint="eastAsia"/>
                <w:color w:val="000000" w:themeColor="text1"/>
                <w14:textFill>
                  <w14:solidFill>
                    <w14:schemeClr w14:val="tx1"/>
                  </w14:solidFill>
                </w14:textFill>
              </w:rPr>
              <w:t>试验仪器设备</w:t>
            </w:r>
          </w:p>
        </w:tc>
        <w:tc>
          <w:tcPr>
            <w:tcW w:w="2131" w:type="dxa"/>
            <w:shd w:val="clear" w:color="auto" w:fill="auto"/>
            <w:vAlign w:val="center"/>
          </w:tcPr>
          <w:p w14:paraId="1D5205FC">
            <w:pPr>
              <w:adjustRightInd w:val="0"/>
              <w:snapToGrid w:val="0"/>
              <w:rPr>
                <w:color w:val="000000" w:themeColor="text1"/>
                <w:kern w:val="0"/>
                <w14:textFill>
                  <w14:solidFill>
                    <w14:schemeClr w14:val="tx1"/>
                  </w14:solidFill>
                </w14:textFill>
              </w:rPr>
            </w:pPr>
            <w:r>
              <w:rPr>
                <w:color w:val="000000" w:themeColor="text1"/>
                <w:kern w:val="0"/>
                <w14:textFill>
                  <w14:solidFill>
                    <w14:schemeClr w14:val="tx1"/>
                  </w14:solidFill>
                </w14:textFill>
              </w:rPr>
              <w:t>拉力试验机</w:t>
            </w:r>
          </w:p>
        </w:tc>
        <w:tc>
          <w:tcPr>
            <w:tcW w:w="1886" w:type="dxa"/>
            <w:shd w:val="clear" w:color="auto" w:fill="auto"/>
            <w:vAlign w:val="center"/>
          </w:tcPr>
          <w:p w14:paraId="6EBC5B5A">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≥30 kN</w:t>
            </w:r>
          </w:p>
        </w:tc>
        <w:tc>
          <w:tcPr>
            <w:tcW w:w="1886" w:type="dxa"/>
            <w:shd w:val="clear" w:color="auto" w:fill="auto"/>
            <w:vAlign w:val="center"/>
          </w:tcPr>
          <w:p w14:paraId="4B097E7C">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1级</w:t>
            </w:r>
          </w:p>
        </w:tc>
        <w:tc>
          <w:tcPr>
            <w:tcW w:w="1887" w:type="dxa"/>
            <w:shd w:val="clear" w:color="auto" w:fill="auto"/>
            <w:vAlign w:val="center"/>
          </w:tcPr>
          <w:p w14:paraId="46463F60">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r w14:paraId="0F8A3A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0" w:type="dxa"/>
            <w:vAlign w:val="center"/>
          </w:tcPr>
          <w:p w14:paraId="0ADE92CD">
            <w:pP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051" w:type="dxa"/>
            <w:vMerge w:val="continue"/>
            <w:vAlign w:val="center"/>
          </w:tcPr>
          <w:p w14:paraId="17B2786C">
            <w:pPr>
              <w:rPr>
                <w:color w:val="000000" w:themeColor="text1"/>
                <w14:textFill>
                  <w14:solidFill>
                    <w14:schemeClr w14:val="tx1"/>
                  </w14:solidFill>
                </w14:textFill>
              </w:rPr>
            </w:pPr>
          </w:p>
        </w:tc>
        <w:tc>
          <w:tcPr>
            <w:tcW w:w="2131" w:type="dxa"/>
            <w:shd w:val="clear" w:color="auto" w:fill="auto"/>
            <w:vAlign w:val="center"/>
          </w:tcPr>
          <w:p w14:paraId="34C298AF">
            <w:pPr>
              <w:adjustRightInd w:val="0"/>
              <w:snapToGrid w:val="0"/>
              <w:rPr>
                <w:color w:val="000000" w:themeColor="text1"/>
                <w:kern w:val="0"/>
                <w14:textFill>
                  <w14:solidFill>
                    <w14:schemeClr w14:val="tx1"/>
                  </w14:solidFill>
                </w14:textFill>
              </w:rPr>
            </w:pPr>
            <w:r>
              <w:rPr>
                <w:color w:val="000000" w:themeColor="text1"/>
                <w:kern w:val="0"/>
                <w14:textFill>
                  <w14:solidFill>
                    <w14:schemeClr w14:val="tx1"/>
                  </w14:solidFill>
                </w14:textFill>
              </w:rPr>
              <w:t>直流电桥</w:t>
            </w:r>
          </w:p>
        </w:tc>
        <w:tc>
          <w:tcPr>
            <w:tcW w:w="1886" w:type="dxa"/>
            <w:shd w:val="clear" w:color="auto" w:fill="auto"/>
            <w:vAlign w:val="center"/>
          </w:tcPr>
          <w:p w14:paraId="2868360F">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满足检验检测要求</w:t>
            </w:r>
          </w:p>
        </w:tc>
        <w:tc>
          <w:tcPr>
            <w:tcW w:w="1886" w:type="dxa"/>
            <w:shd w:val="clear" w:color="auto" w:fill="auto"/>
            <w:vAlign w:val="center"/>
          </w:tcPr>
          <w:p w14:paraId="40EEB80A">
            <w:pPr>
              <w:rPr>
                <w:color w:val="000000" w:themeColor="text1"/>
                <w14:textFill>
                  <w14:solidFill>
                    <w14:schemeClr w14:val="tx1"/>
                  </w14:solidFill>
                </w14:textFill>
              </w:rPr>
            </w:pPr>
            <w:r>
              <w:rPr>
                <w:rFonts w:hint="eastAsia"/>
                <w:bCs/>
                <w:color w:val="000000" w:themeColor="text1"/>
                <w:szCs w:val="24"/>
                <w14:textFill>
                  <w14:solidFill>
                    <w14:schemeClr w14:val="tx1"/>
                  </w14:solidFill>
                </w14:textFill>
              </w:rPr>
              <w:t>显示位数不少于五位，最小分辨率≤0.02 m</w:t>
            </w:r>
            <m:oMath>
              <m:r>
                <m:rPr>
                  <m:sty m:val="p"/>
                </m:rPr>
                <w:rPr>
                  <w:rFonts w:ascii="Cambria Math" w:hAnsi="Cambria Math"/>
                  <w:color w:val="000000" w:themeColor="text1"/>
                  <w:szCs w:val="24"/>
                  <w14:textFill>
                    <w14:solidFill>
                      <w14:schemeClr w14:val="tx1"/>
                    </w14:solidFill>
                  </w14:textFill>
                </w:rPr>
                <m:t>Ω</m:t>
              </m:r>
            </m:oMath>
          </w:p>
        </w:tc>
        <w:tc>
          <w:tcPr>
            <w:tcW w:w="1887" w:type="dxa"/>
            <w:shd w:val="clear" w:color="auto" w:fill="auto"/>
            <w:vAlign w:val="center"/>
          </w:tcPr>
          <w:p w14:paraId="21172243">
            <w:pPr>
              <w:rPr>
                <w:color w:val="000000" w:themeColor="text1"/>
                <w:kern w:val="0"/>
                <w14:textFill>
                  <w14:solidFill>
                    <w14:schemeClr w14:val="tx1"/>
                  </w14:solidFill>
                </w14:textFill>
              </w:rPr>
            </w:pPr>
            <w:r>
              <w:rPr>
                <w:rFonts w:hint="eastAsia"/>
                <w:bCs/>
                <w:color w:val="000000" w:themeColor="text1"/>
                <w:szCs w:val="24"/>
                <w14:textFill>
                  <w14:solidFill>
                    <w14:schemeClr w14:val="tx1"/>
                  </w14:solidFill>
                </w14:textFill>
              </w:rPr>
              <w:t>—</w:t>
            </w:r>
          </w:p>
        </w:tc>
      </w:tr>
    </w:tbl>
    <w:p w14:paraId="16328431">
      <w:pPr>
        <w:pStyle w:val="31"/>
        <w:jc w:val="both"/>
        <w:rPr>
          <w:color w:val="000000" w:themeColor="text1"/>
          <w14:textFill>
            <w14:solidFill>
              <w14:schemeClr w14:val="tx1"/>
            </w14:solidFill>
          </w14:textFill>
        </w:rPr>
      </w:pPr>
    </w:p>
    <w:p w14:paraId="3842B6A6">
      <w:pPr>
        <w:pStyle w:val="53"/>
      </w:pPr>
      <w:bookmarkStart w:id="57" w:name="_Hlk184754352"/>
      <w:bookmarkStart w:id="58" w:name="_Hlk184801862"/>
      <w:r>
        <w:rPr>
          <w:rFonts w:hint="eastAsia"/>
        </w:rPr>
        <w:t>零部件和材料</w:t>
      </w:r>
    </w:p>
    <w:p w14:paraId="1781B43D">
      <w:pPr>
        <w:pStyle w:val="31"/>
        <w:spacing w:before="156" w:beforeLines="50" w:after="156" w:afterLines="50"/>
        <w:rPr>
          <w:color w:val="000000" w:themeColor="text1"/>
          <w14:textFill>
            <w14:solidFill>
              <w14:schemeClr w14:val="tx1"/>
            </w14:solidFill>
          </w14:textFill>
        </w:rPr>
      </w:pPr>
      <w:r>
        <w:rPr>
          <w:rFonts w:hint="eastAsia" w:ascii="宋体" w:hAnsi="宋体"/>
          <w:kern w:val="2"/>
          <w:szCs w:val="21"/>
        </w:rPr>
        <w:t>具备关键零部件材料应符合表3的要求</w:t>
      </w:r>
      <w:bookmarkEnd w:id="57"/>
      <w:bookmarkEnd w:id="58"/>
      <w:r>
        <w:rPr>
          <w:rFonts w:hint="eastAsia" w:ascii="宋体" w:hAnsi="宋体"/>
          <w:kern w:val="2"/>
          <w:szCs w:val="21"/>
        </w:rPr>
        <w:t>。</w:t>
      </w:r>
    </w:p>
    <w:p w14:paraId="0C1EAD95">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3 关键零部件和材料清单</w:t>
      </w:r>
    </w:p>
    <w:tbl>
      <w:tblPr>
        <w:tblStyle w:val="25"/>
        <w:tblW w:w="94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717"/>
        <w:gridCol w:w="1763"/>
        <w:gridCol w:w="1987"/>
        <w:gridCol w:w="3159"/>
      </w:tblGrid>
      <w:tr w14:paraId="0297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trPr>
        <w:tc>
          <w:tcPr>
            <w:tcW w:w="1866" w:type="dxa"/>
            <w:vAlign w:val="center"/>
          </w:tcPr>
          <w:p w14:paraId="0FF5D1D9">
            <w:r>
              <w:rPr>
                <w:rFonts w:hint="eastAsia"/>
              </w:rPr>
              <w:t>产品名称</w:t>
            </w:r>
          </w:p>
        </w:tc>
        <w:tc>
          <w:tcPr>
            <w:tcW w:w="717" w:type="dxa"/>
            <w:vAlign w:val="center"/>
          </w:tcPr>
          <w:p w14:paraId="64802575">
            <w:r>
              <w:rPr>
                <w:rFonts w:hint="eastAsia"/>
              </w:rPr>
              <w:t>序号</w:t>
            </w:r>
          </w:p>
        </w:tc>
        <w:tc>
          <w:tcPr>
            <w:tcW w:w="1763" w:type="dxa"/>
            <w:vAlign w:val="center"/>
          </w:tcPr>
          <w:p w14:paraId="2329D91D">
            <w:r>
              <w:rPr>
                <w:rFonts w:hint="eastAsia"/>
              </w:rPr>
              <w:t>零部件/材料名称</w:t>
            </w:r>
          </w:p>
        </w:tc>
        <w:tc>
          <w:tcPr>
            <w:tcW w:w="1987" w:type="dxa"/>
            <w:vAlign w:val="center"/>
          </w:tcPr>
          <w:p w14:paraId="177AFEAF">
            <w:r>
              <w:rPr>
                <w:rFonts w:hint="eastAsia"/>
              </w:rPr>
              <w:t>对应标准编号</w:t>
            </w:r>
          </w:p>
        </w:tc>
        <w:tc>
          <w:tcPr>
            <w:tcW w:w="3159" w:type="dxa"/>
            <w:vAlign w:val="center"/>
          </w:tcPr>
          <w:p w14:paraId="64894E8C">
            <w:r>
              <w:rPr>
                <w:rFonts w:hint="eastAsia"/>
              </w:rPr>
              <w:t>控制项目</w:t>
            </w:r>
          </w:p>
        </w:tc>
      </w:tr>
      <w:tr w14:paraId="1DFE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866" w:type="dxa"/>
            <w:vMerge w:val="restart"/>
            <w:vAlign w:val="center"/>
          </w:tcPr>
          <w:p w14:paraId="7EE308F3">
            <w:r>
              <w:rPr>
                <w:color w:val="000000"/>
                <w:szCs w:val="21"/>
              </w:rPr>
              <w:t>铁路贯通地线</w:t>
            </w:r>
          </w:p>
        </w:tc>
        <w:tc>
          <w:tcPr>
            <w:tcW w:w="717" w:type="dxa"/>
            <w:vAlign w:val="center"/>
          </w:tcPr>
          <w:p w14:paraId="66DB5D45">
            <w:r>
              <w:rPr>
                <w:rFonts w:hint="eastAsia"/>
              </w:rPr>
              <w:t>1</w:t>
            </w:r>
          </w:p>
        </w:tc>
        <w:tc>
          <w:tcPr>
            <w:tcW w:w="1763" w:type="dxa"/>
            <w:vAlign w:val="center"/>
          </w:tcPr>
          <w:p w14:paraId="08960EBD">
            <w:r>
              <w:t>铜导体</w:t>
            </w:r>
          </w:p>
        </w:tc>
        <w:tc>
          <w:tcPr>
            <w:tcW w:w="1987" w:type="dxa"/>
            <w:vMerge w:val="restart"/>
            <w:vAlign w:val="center"/>
          </w:tcPr>
          <w:p w14:paraId="09A509A3">
            <w:r>
              <w:t>TB/T 3479-2017</w:t>
            </w:r>
          </w:p>
        </w:tc>
        <w:tc>
          <w:tcPr>
            <w:tcW w:w="3159" w:type="dxa"/>
            <w:vAlign w:val="center"/>
          </w:tcPr>
          <w:p w14:paraId="1B6F7594">
            <w:r>
              <w:rPr>
                <w:rFonts w:hint="eastAsia"/>
                <w:color w:val="000000"/>
              </w:rPr>
              <w:t>牌号、制造企业</w:t>
            </w:r>
          </w:p>
        </w:tc>
      </w:tr>
      <w:tr w14:paraId="54F61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866" w:type="dxa"/>
            <w:vMerge w:val="continue"/>
            <w:vAlign w:val="center"/>
          </w:tcPr>
          <w:p w14:paraId="44BDC2AB"/>
        </w:tc>
        <w:tc>
          <w:tcPr>
            <w:tcW w:w="717" w:type="dxa"/>
            <w:vAlign w:val="center"/>
          </w:tcPr>
          <w:p w14:paraId="3EE1EB0B">
            <w:r>
              <w:rPr>
                <w:rFonts w:hint="eastAsia"/>
              </w:rPr>
              <w:t>2</w:t>
            </w:r>
          </w:p>
        </w:tc>
        <w:tc>
          <w:tcPr>
            <w:tcW w:w="1763" w:type="dxa"/>
            <w:vAlign w:val="center"/>
          </w:tcPr>
          <w:p w14:paraId="7C02E56D">
            <w:r>
              <w:t>外护套合金材料</w:t>
            </w:r>
          </w:p>
        </w:tc>
        <w:tc>
          <w:tcPr>
            <w:tcW w:w="1987" w:type="dxa"/>
            <w:vMerge w:val="continue"/>
          </w:tcPr>
          <w:p w14:paraId="16287E09"/>
        </w:tc>
        <w:tc>
          <w:tcPr>
            <w:tcW w:w="3159" w:type="dxa"/>
            <w:vAlign w:val="center"/>
          </w:tcPr>
          <w:p w14:paraId="2A77E76D">
            <w:r>
              <w:rPr>
                <w:rFonts w:hint="eastAsia"/>
                <w:color w:val="000000"/>
              </w:rPr>
              <w:t>牌号、制造企业</w:t>
            </w:r>
          </w:p>
        </w:tc>
      </w:tr>
      <w:tr w14:paraId="7D05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492" w:type="dxa"/>
            <w:gridSpan w:val="5"/>
            <w:vAlign w:val="center"/>
          </w:tcPr>
          <w:p w14:paraId="1CCF5852">
            <w:pPr>
              <w:jc w:val="left"/>
              <w:rPr>
                <w:kern w:val="0"/>
              </w:rPr>
            </w:pPr>
            <w:r>
              <w:rPr>
                <w:rFonts w:hint="eastAsia" w:ascii="黑体" w:hAnsi="黑体" w:eastAsia="黑体" w:cs="黑体"/>
                <w:kern w:val="0"/>
                <w:lang w:val="en-US" w:eastAsia="zh-CN"/>
              </w:rPr>
              <w:t>注</w:t>
            </w:r>
            <w:r>
              <w:rPr>
                <w:rFonts w:hint="eastAsia" w:ascii="黑体" w:hAnsi="黑体" w:eastAsia="黑体" w:cs="黑体"/>
                <w:kern w:val="0"/>
              </w:rPr>
              <w:t>1</w:t>
            </w:r>
            <w:r>
              <w:rPr>
                <w:rFonts w:hint="eastAsia" w:ascii="黑体" w:hAnsi="黑体" w:eastAsia="黑体" w:cs="黑体"/>
                <w:kern w:val="0"/>
                <w:lang w:eastAsia="zh-CN"/>
              </w:rPr>
              <w:t>：</w:t>
            </w:r>
            <w:r>
              <w:rPr>
                <w:rFonts w:hint="eastAsia"/>
                <w:kern w:val="0"/>
              </w:rPr>
              <w:t>控制项目发生变化时委托人需提出认证变更委托并备案。</w:t>
            </w:r>
          </w:p>
          <w:p w14:paraId="597C0466">
            <w:pPr>
              <w:pStyle w:val="119"/>
              <w:spacing w:line="240" w:lineRule="atLeast"/>
              <w:jc w:val="left"/>
              <w:rPr>
                <w:rFonts w:ascii="宋体" w:hAnsi="宋体" w:eastAsia="宋体"/>
                <w:b w:val="0"/>
                <w:sz w:val="18"/>
                <w:szCs w:val="18"/>
              </w:rPr>
            </w:pPr>
            <w:r>
              <w:rPr>
                <w:rFonts w:hint="eastAsia" w:ascii="黑体" w:hAnsi="黑体" w:eastAsia="黑体" w:cs="黑体"/>
                <w:b w:val="0"/>
                <w:kern w:val="0"/>
                <w:sz w:val="18"/>
                <w:szCs w:val="18"/>
                <w:lang w:val="en-US" w:eastAsia="zh-CN"/>
              </w:rPr>
              <w:t>注</w:t>
            </w:r>
            <w:r>
              <w:rPr>
                <w:rFonts w:hint="eastAsia" w:ascii="黑体" w:hAnsi="黑体" w:eastAsia="黑体" w:cs="黑体"/>
                <w:b w:val="0"/>
                <w:kern w:val="0"/>
                <w:sz w:val="18"/>
                <w:szCs w:val="18"/>
              </w:rPr>
              <w:t>2</w:t>
            </w:r>
            <w:r>
              <w:rPr>
                <w:rFonts w:hint="eastAsia" w:ascii="黑体" w:hAnsi="黑体" w:eastAsia="黑体" w:cs="黑体"/>
                <w:b w:val="0"/>
                <w:kern w:val="0"/>
                <w:sz w:val="18"/>
                <w:szCs w:val="18"/>
                <w:lang w:eastAsia="zh-CN"/>
              </w:rPr>
              <w:t>：</w:t>
            </w:r>
            <w:r>
              <w:rPr>
                <w:rFonts w:hint="eastAsia" w:ascii="宋体" w:hAnsi="宋体" w:eastAsia="宋体"/>
                <w:b w:val="0"/>
                <w:kern w:val="0"/>
                <w:sz w:val="18"/>
                <w:szCs w:val="18"/>
              </w:rPr>
              <w:t>序号</w:t>
            </w:r>
            <w:r>
              <w:rPr>
                <w:rFonts w:ascii="宋体" w:hAnsi="宋体" w:eastAsia="宋体"/>
                <w:b w:val="0"/>
                <w:kern w:val="0"/>
                <w:sz w:val="18"/>
                <w:szCs w:val="18"/>
              </w:rPr>
              <w:t>1</w:t>
            </w:r>
            <w:r>
              <w:rPr>
                <w:rFonts w:hint="eastAsia" w:ascii="宋体" w:hAnsi="宋体" w:eastAsia="宋体"/>
                <w:b w:val="0"/>
                <w:sz w:val="18"/>
                <w:szCs w:val="18"/>
              </w:rPr>
              <w:t>变更时需检测项目为</w:t>
            </w:r>
            <w:r>
              <w:rPr>
                <w:rFonts w:hint="eastAsia" w:ascii="宋体" w:hAnsi="宋体" w:eastAsia="宋体" w:cs="宋体"/>
                <w:b w:val="0"/>
                <w:color w:val="000000"/>
                <w:kern w:val="0"/>
                <w:sz w:val="18"/>
                <w:szCs w:val="18"/>
              </w:rPr>
              <w:t>贯通地线电气性能、贯通地线机械物理性能，抽样数量随机抽取长度7.5米</w:t>
            </w:r>
            <w:r>
              <w:rPr>
                <w:rFonts w:ascii="宋体" w:hAnsi="宋体" w:eastAsia="宋体"/>
                <w:b w:val="0"/>
                <w:sz w:val="18"/>
                <w:szCs w:val="18"/>
              </w:rPr>
              <w:t>。</w:t>
            </w:r>
          </w:p>
          <w:p w14:paraId="6FB139DE">
            <w:pPr>
              <w:jc w:val="left"/>
            </w:pPr>
            <w:r>
              <w:rPr>
                <w:rFonts w:hint="eastAsia" w:ascii="黑体" w:hAnsi="黑体" w:eastAsia="黑体" w:cs="黑体"/>
                <w:kern w:val="0"/>
                <w:lang w:val="en-US" w:eastAsia="zh-CN"/>
              </w:rPr>
              <w:t>注</w:t>
            </w:r>
            <w:r>
              <w:rPr>
                <w:rFonts w:hint="eastAsia" w:ascii="黑体" w:hAnsi="黑体" w:eastAsia="黑体" w:cs="黑体"/>
                <w:kern w:val="0"/>
              </w:rPr>
              <w:t>3</w:t>
            </w:r>
            <w:r>
              <w:rPr>
                <w:rFonts w:hint="eastAsia" w:ascii="黑体" w:hAnsi="黑体" w:eastAsia="黑体" w:cs="黑体"/>
                <w:kern w:val="0"/>
                <w:lang w:eastAsia="zh-CN"/>
              </w:rPr>
              <w:t>：</w:t>
            </w:r>
            <w:r>
              <w:rPr>
                <w:rFonts w:hint="eastAsia"/>
                <w:kern w:val="0"/>
              </w:rPr>
              <w:t>序号</w:t>
            </w:r>
            <w:r>
              <w:rPr>
                <w:kern w:val="0"/>
              </w:rPr>
              <w:t>2</w:t>
            </w:r>
            <w:r>
              <w:rPr>
                <w:rFonts w:hint="eastAsia"/>
              </w:rPr>
              <w:t>变更时需检测项目为外观、外护套一致性及金相组织检查（仅S-DH型）、外护套性能、贯通地线电气性能、贯通地线机械物理性能、弯曲性能</w:t>
            </w:r>
            <w:r>
              <w:rPr>
                <w:rFonts w:hint="eastAsia"/>
                <w:color w:val="000000"/>
              </w:rPr>
              <w:t>。抽样数量1盘（每种规格）+1盘（终端抽样），基数3盘，同时随机抽取长度7.5米。</w:t>
            </w:r>
          </w:p>
        </w:tc>
      </w:tr>
      <w:bookmarkEnd w:id="56"/>
    </w:tbl>
    <w:p w14:paraId="5307FDB6">
      <w:pPr>
        <w:pStyle w:val="51"/>
        <w:rPr>
          <w:color w:val="000000" w:themeColor="text1"/>
          <w14:textFill>
            <w14:solidFill>
              <w14:schemeClr w14:val="tx1"/>
            </w14:solidFill>
          </w14:textFill>
        </w:rPr>
      </w:pPr>
      <w:bookmarkStart w:id="59" w:name="_Toc153543039"/>
      <w:bookmarkEnd w:id="59"/>
      <w:bookmarkStart w:id="60" w:name="_Toc153543007"/>
      <w:bookmarkEnd w:id="60"/>
      <w:bookmarkStart w:id="61" w:name="_Toc153543062"/>
      <w:bookmarkEnd w:id="61"/>
      <w:bookmarkStart w:id="62" w:name="_Toc153543054"/>
      <w:bookmarkEnd w:id="62"/>
      <w:bookmarkStart w:id="63" w:name="_Toc153543045"/>
      <w:bookmarkEnd w:id="63"/>
      <w:bookmarkStart w:id="64" w:name="_Toc153543041"/>
      <w:bookmarkEnd w:id="64"/>
      <w:bookmarkStart w:id="65" w:name="_Toc153543048"/>
      <w:bookmarkEnd w:id="65"/>
      <w:bookmarkStart w:id="66" w:name="_Toc153543058"/>
      <w:bookmarkEnd w:id="66"/>
      <w:bookmarkStart w:id="67" w:name="_Toc153543006"/>
      <w:bookmarkEnd w:id="67"/>
      <w:bookmarkStart w:id="68" w:name="_Toc153543023"/>
      <w:bookmarkEnd w:id="68"/>
      <w:bookmarkStart w:id="69" w:name="_Toc153543082"/>
      <w:bookmarkEnd w:id="69"/>
      <w:bookmarkStart w:id="70" w:name="_Toc153543075"/>
      <w:bookmarkEnd w:id="70"/>
      <w:bookmarkStart w:id="71" w:name="_Toc153543085"/>
      <w:bookmarkEnd w:id="71"/>
      <w:bookmarkStart w:id="72" w:name="_Toc153543061"/>
      <w:bookmarkEnd w:id="72"/>
      <w:bookmarkStart w:id="73" w:name="_Toc153543040"/>
      <w:bookmarkEnd w:id="73"/>
      <w:bookmarkStart w:id="74" w:name="_Toc153543022"/>
      <w:bookmarkEnd w:id="74"/>
      <w:bookmarkStart w:id="75" w:name="_Toc153543044"/>
      <w:bookmarkEnd w:id="75"/>
      <w:bookmarkStart w:id="76" w:name="_Toc153543066"/>
      <w:bookmarkEnd w:id="76"/>
      <w:bookmarkStart w:id="77" w:name="_Toc153543032"/>
      <w:bookmarkEnd w:id="77"/>
      <w:bookmarkStart w:id="78" w:name="_Toc153543042"/>
      <w:bookmarkEnd w:id="78"/>
      <w:bookmarkStart w:id="79" w:name="_Toc153543063"/>
      <w:bookmarkEnd w:id="79"/>
      <w:bookmarkStart w:id="80" w:name="_Toc153543036"/>
      <w:bookmarkEnd w:id="80"/>
      <w:bookmarkStart w:id="81" w:name="_Toc153543088"/>
      <w:bookmarkEnd w:id="81"/>
      <w:bookmarkStart w:id="82" w:name="_Toc153543068"/>
      <w:bookmarkEnd w:id="82"/>
      <w:bookmarkStart w:id="83" w:name="_Toc153543031"/>
      <w:bookmarkEnd w:id="83"/>
      <w:bookmarkStart w:id="84" w:name="_Toc153543050"/>
      <w:bookmarkEnd w:id="84"/>
      <w:bookmarkStart w:id="85" w:name="_Toc153543034"/>
      <w:bookmarkEnd w:id="85"/>
      <w:bookmarkStart w:id="86" w:name="_Toc153543071"/>
      <w:bookmarkEnd w:id="86"/>
      <w:bookmarkStart w:id="87" w:name="_Toc153543097"/>
      <w:bookmarkEnd w:id="87"/>
      <w:bookmarkStart w:id="88" w:name="_Toc153543092"/>
      <w:bookmarkEnd w:id="88"/>
      <w:bookmarkStart w:id="89" w:name="_Toc153543094"/>
      <w:bookmarkEnd w:id="89"/>
      <w:bookmarkStart w:id="90" w:name="_Toc153543047"/>
      <w:bookmarkEnd w:id="90"/>
      <w:bookmarkStart w:id="91" w:name="_Toc153543029"/>
      <w:bookmarkEnd w:id="91"/>
      <w:bookmarkStart w:id="92" w:name="_Toc153543049"/>
      <w:bookmarkEnd w:id="92"/>
      <w:bookmarkStart w:id="93" w:name="_Toc153543072"/>
      <w:bookmarkEnd w:id="93"/>
      <w:bookmarkStart w:id="94" w:name="_Toc153543037"/>
      <w:bookmarkEnd w:id="94"/>
      <w:bookmarkStart w:id="95" w:name="_Toc153543095"/>
      <w:bookmarkEnd w:id="95"/>
      <w:bookmarkStart w:id="96" w:name="_Toc153543020"/>
      <w:bookmarkEnd w:id="96"/>
      <w:bookmarkStart w:id="97" w:name="_Toc153543081"/>
      <w:bookmarkEnd w:id="97"/>
      <w:bookmarkStart w:id="98" w:name="_Toc153543079"/>
      <w:bookmarkEnd w:id="98"/>
      <w:bookmarkStart w:id="99" w:name="_Toc153543046"/>
      <w:bookmarkEnd w:id="99"/>
      <w:bookmarkStart w:id="100" w:name="_Toc153543033"/>
      <w:bookmarkEnd w:id="100"/>
      <w:bookmarkStart w:id="101" w:name="_Toc153543077"/>
      <w:bookmarkEnd w:id="101"/>
      <w:bookmarkStart w:id="102" w:name="_Toc153543056"/>
      <w:bookmarkEnd w:id="102"/>
      <w:bookmarkStart w:id="103" w:name="_Toc153543069"/>
      <w:bookmarkEnd w:id="103"/>
      <w:bookmarkStart w:id="104" w:name="_Toc153543064"/>
      <w:bookmarkEnd w:id="104"/>
      <w:bookmarkStart w:id="105" w:name="_Toc153543093"/>
      <w:bookmarkEnd w:id="105"/>
      <w:bookmarkStart w:id="106" w:name="_Toc153543078"/>
      <w:bookmarkEnd w:id="106"/>
      <w:bookmarkStart w:id="107" w:name="_Toc153543076"/>
      <w:bookmarkEnd w:id="107"/>
      <w:bookmarkStart w:id="108" w:name="_Toc153543052"/>
      <w:bookmarkEnd w:id="108"/>
      <w:bookmarkStart w:id="109" w:name="_Toc153543098"/>
      <w:bookmarkEnd w:id="109"/>
      <w:bookmarkStart w:id="110" w:name="_Toc153543083"/>
      <w:bookmarkEnd w:id="110"/>
      <w:bookmarkStart w:id="111" w:name="_Toc153543084"/>
      <w:bookmarkEnd w:id="111"/>
      <w:bookmarkStart w:id="112" w:name="_Toc153543055"/>
      <w:bookmarkEnd w:id="112"/>
      <w:bookmarkStart w:id="113" w:name="_Toc153543053"/>
      <w:bookmarkEnd w:id="113"/>
      <w:bookmarkStart w:id="114" w:name="_Toc153543060"/>
      <w:bookmarkEnd w:id="114"/>
      <w:bookmarkStart w:id="115" w:name="_Toc153543043"/>
      <w:bookmarkEnd w:id="115"/>
      <w:bookmarkStart w:id="116" w:name="_Toc153543091"/>
      <w:bookmarkEnd w:id="116"/>
      <w:bookmarkStart w:id="117" w:name="_Toc153543086"/>
      <w:bookmarkEnd w:id="117"/>
      <w:bookmarkStart w:id="118" w:name="_Toc153543089"/>
      <w:bookmarkEnd w:id="118"/>
      <w:bookmarkStart w:id="119" w:name="_Toc153543059"/>
      <w:bookmarkEnd w:id="119"/>
      <w:bookmarkStart w:id="120" w:name="_Toc153543024"/>
      <w:bookmarkEnd w:id="120"/>
      <w:bookmarkStart w:id="121" w:name="_Toc153543030"/>
      <w:bookmarkEnd w:id="121"/>
      <w:bookmarkStart w:id="122" w:name="_Toc153543051"/>
      <w:bookmarkEnd w:id="122"/>
      <w:bookmarkStart w:id="123" w:name="_Toc153543087"/>
      <w:bookmarkEnd w:id="123"/>
      <w:bookmarkStart w:id="124" w:name="_Toc153543080"/>
      <w:bookmarkEnd w:id="124"/>
      <w:bookmarkStart w:id="125" w:name="_Toc153543008"/>
      <w:bookmarkEnd w:id="125"/>
      <w:bookmarkStart w:id="126" w:name="_Toc153543096"/>
      <w:bookmarkEnd w:id="126"/>
      <w:bookmarkStart w:id="127" w:name="_Toc153543038"/>
      <w:bookmarkEnd w:id="127"/>
      <w:bookmarkStart w:id="128" w:name="_Toc153543019"/>
      <w:bookmarkEnd w:id="128"/>
      <w:bookmarkStart w:id="129" w:name="_Toc153543018"/>
      <w:bookmarkEnd w:id="129"/>
      <w:bookmarkStart w:id="130" w:name="_Toc153543090"/>
      <w:bookmarkEnd w:id="130"/>
      <w:bookmarkStart w:id="131" w:name="_Toc153543021"/>
      <w:bookmarkEnd w:id="131"/>
      <w:bookmarkStart w:id="132" w:name="_Toc153543065"/>
      <w:bookmarkEnd w:id="132"/>
      <w:bookmarkStart w:id="133" w:name="_Toc153543070"/>
      <w:bookmarkEnd w:id="133"/>
      <w:bookmarkStart w:id="134" w:name="_Toc153543067"/>
      <w:bookmarkEnd w:id="134"/>
      <w:bookmarkStart w:id="135" w:name="_Toc153543057"/>
      <w:bookmarkEnd w:id="135"/>
      <w:bookmarkStart w:id="136" w:name="_Toc153543035"/>
      <w:bookmarkEnd w:id="136"/>
      <w:bookmarkStart w:id="137" w:name="_Toc153543011"/>
      <w:bookmarkEnd w:id="137"/>
      <w:bookmarkStart w:id="138" w:name="_Toc153543074"/>
      <w:bookmarkEnd w:id="138"/>
      <w:bookmarkStart w:id="139" w:name="_Toc20213"/>
      <w:r>
        <w:rPr>
          <w:rFonts w:hint="eastAsia"/>
          <w:color w:val="000000" w:themeColor="text1"/>
          <w14:textFill>
            <w14:solidFill>
              <w14:schemeClr w14:val="tx1"/>
            </w14:solidFill>
          </w14:textFill>
        </w:rPr>
        <w:t>产品抽样检验</w:t>
      </w:r>
      <w:bookmarkEnd w:id="139"/>
    </w:p>
    <w:p w14:paraId="749D1BFC">
      <w:pPr>
        <w:pStyle w:val="53"/>
        <w:rPr>
          <w:color w:val="000000" w:themeColor="text1"/>
          <w14:textFill>
            <w14:solidFill>
              <w14:schemeClr w14:val="tx1"/>
            </w14:solidFill>
          </w14:textFill>
        </w:rPr>
      </w:pPr>
      <w:bookmarkStart w:id="140" w:name="_Toc153543117"/>
      <w:bookmarkEnd w:id="140"/>
      <w:bookmarkStart w:id="141" w:name="_Toc153543121"/>
      <w:bookmarkEnd w:id="141"/>
      <w:bookmarkStart w:id="142" w:name="_Toc153543114"/>
      <w:bookmarkEnd w:id="142"/>
      <w:bookmarkStart w:id="143" w:name="_Toc153543120"/>
      <w:bookmarkEnd w:id="143"/>
      <w:bookmarkStart w:id="144" w:name="_Toc153543115"/>
      <w:bookmarkEnd w:id="144"/>
      <w:bookmarkStart w:id="145" w:name="_Toc153543118"/>
      <w:bookmarkEnd w:id="145"/>
      <w:bookmarkStart w:id="146" w:name="_Toc153543116"/>
      <w:bookmarkEnd w:id="146"/>
      <w:bookmarkStart w:id="147" w:name="_Toc153543119"/>
      <w:bookmarkEnd w:id="147"/>
      <w:bookmarkStart w:id="148" w:name="_Toc6733"/>
      <w:r>
        <w:rPr>
          <w:rFonts w:hint="eastAsia"/>
          <w:color w:val="000000" w:themeColor="text1"/>
          <w14:textFill>
            <w14:solidFill>
              <w14:schemeClr w14:val="tx1"/>
            </w14:solidFill>
          </w14:textFill>
        </w:rPr>
        <w:t>检验依据</w:t>
      </w:r>
      <w:bookmarkEnd w:id="148"/>
    </w:p>
    <w:p w14:paraId="34154494">
      <w:pPr>
        <w:pStyle w:val="31"/>
        <w:jc w:val="both"/>
        <w:rPr>
          <w:color w:val="000000" w:themeColor="text1"/>
          <w14:textFill>
            <w14:solidFill>
              <w14:schemeClr w14:val="tx1"/>
            </w14:solidFill>
          </w14:textFill>
        </w:rPr>
      </w:pPr>
      <w:r>
        <w:rPr>
          <w:color w:val="000000" w:themeColor="text1"/>
          <w14:textFill>
            <w14:solidFill>
              <w14:schemeClr w14:val="tx1"/>
            </w14:solidFill>
          </w14:textFill>
        </w:rPr>
        <w:t>TB/T 3479-2017 铁路贯通地线</w:t>
      </w:r>
    </w:p>
    <w:p w14:paraId="6FE463E3">
      <w:pPr>
        <w:pStyle w:val="53"/>
        <w:rPr>
          <w:color w:val="000000" w:themeColor="text1"/>
          <w14:textFill>
            <w14:solidFill>
              <w14:schemeClr w14:val="tx1"/>
            </w14:solidFill>
          </w14:textFill>
        </w:rPr>
      </w:pPr>
      <w:bookmarkStart w:id="149" w:name="_Toc24550"/>
      <w:r>
        <w:rPr>
          <w:rFonts w:hint="eastAsia"/>
          <w:color w:val="000000" w:themeColor="text1"/>
          <w14:textFill>
            <w14:solidFill>
              <w14:schemeClr w14:val="tx1"/>
            </w14:solidFill>
          </w14:textFill>
        </w:rPr>
        <w:t>产品抽样</w:t>
      </w:r>
      <w:bookmarkEnd w:id="149"/>
    </w:p>
    <w:p w14:paraId="27D8E172">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抽样方案</w:t>
      </w:r>
    </w:p>
    <w:p w14:paraId="464D8E22">
      <w:pPr>
        <w:pStyle w:val="54"/>
        <w:numPr>
          <w:ilvl w:val="3"/>
          <w:numId w:val="1"/>
        </w:numPr>
        <w:spacing w:beforeLines="50"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产品</w:t>
      </w:r>
      <w:r>
        <w:rPr>
          <w:rFonts w:hint="eastAsia" w:ascii="宋体" w:hAnsi="宋体" w:eastAsia="宋体" w:cs="黑体"/>
        </w:rPr>
        <w:t>抽样方案</w:t>
      </w:r>
      <w:r>
        <w:rPr>
          <w:rFonts w:hint="eastAsia"/>
          <w:color w:val="000000" w:themeColor="text1"/>
          <w14:textFill>
            <w14:solidFill>
              <w14:schemeClr w14:val="tx1"/>
            </w14:solidFill>
          </w14:textFill>
        </w:rPr>
        <w:t>应符合表</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的要求。</w:t>
      </w:r>
    </w:p>
    <w:p w14:paraId="28527F47">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w:t>
      </w:r>
      <w:r>
        <w:rPr>
          <w:rFonts w:ascii="黑体" w:hAnsi="黑体" w:eastAsia="黑体" w:cs="黑体"/>
          <w:color w:val="000000" w:themeColor="text1"/>
          <w14:textFill>
            <w14:solidFill>
              <w14:schemeClr w14:val="tx1"/>
            </w14:solidFill>
          </w14:textFill>
        </w:rPr>
        <w:t>4</w:t>
      </w:r>
      <w:r>
        <w:rPr>
          <w:rFonts w:hint="eastAsia" w:ascii="黑体" w:hAnsi="黑体" w:eastAsia="黑体" w:cs="黑体"/>
          <w:color w:val="000000" w:themeColor="text1"/>
          <w14:textFill>
            <w14:solidFill>
              <w14:schemeClr w14:val="tx1"/>
            </w14:solidFill>
          </w14:textFill>
        </w:rPr>
        <w:t xml:space="preserve">  抽样数量及要求</w:t>
      </w:r>
    </w:p>
    <w:tbl>
      <w:tblPr>
        <w:tblStyle w:val="25"/>
        <w:tblW w:w="95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3314"/>
        <w:gridCol w:w="1875"/>
        <w:gridCol w:w="2507"/>
      </w:tblGrid>
      <w:tr w14:paraId="0519C0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8" w:hRule="atLeast"/>
          <w:tblHeader/>
          <w:jc w:val="center"/>
        </w:trPr>
        <w:tc>
          <w:tcPr>
            <w:tcW w:w="1875" w:type="dxa"/>
            <w:vAlign w:val="center"/>
          </w:tcPr>
          <w:p w14:paraId="7FE980DC">
            <w:pPr>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抽样方案</w:t>
            </w:r>
          </w:p>
        </w:tc>
        <w:tc>
          <w:tcPr>
            <w:tcW w:w="3314" w:type="dxa"/>
            <w:vAlign w:val="center"/>
          </w:tcPr>
          <w:p w14:paraId="3C016F5C">
            <w:pPr>
              <w:rPr>
                <w:bCs/>
                <w:color w:val="000000" w:themeColor="text1"/>
                <w14:textFill>
                  <w14:solidFill>
                    <w14:schemeClr w14:val="tx1"/>
                  </w14:solidFill>
                </w14:textFill>
              </w:rPr>
            </w:pPr>
            <w:r>
              <w:rPr>
                <w:rFonts w:hint="eastAsia"/>
                <w:bCs/>
                <w:color w:val="000000" w:themeColor="text1"/>
                <w14:textFill>
                  <w14:solidFill>
                    <w14:schemeClr w14:val="tx1"/>
                  </w14:solidFill>
                </w14:textFill>
              </w:rPr>
              <w:t>抽样数量</w:t>
            </w:r>
          </w:p>
        </w:tc>
        <w:tc>
          <w:tcPr>
            <w:tcW w:w="1875" w:type="dxa"/>
            <w:vAlign w:val="center"/>
          </w:tcPr>
          <w:p w14:paraId="1E19E495">
            <w:pPr>
              <w:rPr>
                <w:color w:val="000000" w:themeColor="text1"/>
                <w14:textFill>
                  <w14:solidFill>
                    <w14:schemeClr w14:val="tx1"/>
                  </w14:solidFill>
                </w14:textFill>
              </w:rPr>
            </w:pPr>
            <w:r>
              <w:rPr>
                <w:rFonts w:hint="eastAsia"/>
              </w:rPr>
              <w:t>抽样基数</w:t>
            </w:r>
          </w:p>
        </w:tc>
        <w:tc>
          <w:tcPr>
            <w:tcW w:w="2507" w:type="dxa"/>
            <w:tcBorders>
              <w:bottom w:val="single" w:color="auto" w:sz="8" w:space="0"/>
            </w:tcBorders>
            <w:vAlign w:val="center"/>
          </w:tcPr>
          <w:p w14:paraId="6262D888">
            <w:r>
              <w:rPr>
                <w:rFonts w:hint="eastAsia"/>
                <w:color w:val="000000"/>
              </w:rPr>
              <w:t>备注</w:t>
            </w:r>
          </w:p>
        </w:tc>
      </w:tr>
      <w:tr w14:paraId="7F1CA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75" w:type="dxa"/>
            <w:tcBorders>
              <w:top w:val="single" w:color="auto" w:sz="8" w:space="0"/>
              <w:tl2br w:val="nil"/>
              <w:tr2bl w:val="nil"/>
            </w:tcBorders>
            <w:shd w:val="clear" w:color="auto" w:fill="auto"/>
            <w:vAlign w:val="center"/>
          </w:tcPr>
          <w:p w14:paraId="47F2730E">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型式检验</w:t>
            </w:r>
          </w:p>
        </w:tc>
        <w:tc>
          <w:tcPr>
            <w:tcW w:w="3314" w:type="dxa"/>
            <w:tcBorders>
              <w:top w:val="single" w:color="auto" w:sz="8" w:space="0"/>
              <w:tl2br w:val="nil"/>
              <w:tr2bl w:val="nil"/>
            </w:tcBorders>
            <w:shd w:val="clear" w:color="auto" w:fill="auto"/>
            <w:vAlign w:val="center"/>
          </w:tcPr>
          <w:p w14:paraId="3B34C551">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1盘（每种规格）+1盘（终端抽样）</w:t>
            </w:r>
          </w:p>
        </w:tc>
        <w:tc>
          <w:tcPr>
            <w:tcW w:w="1875" w:type="dxa"/>
            <w:tcBorders>
              <w:top w:val="single" w:color="auto" w:sz="8" w:space="0"/>
              <w:tl2br w:val="nil"/>
              <w:tr2bl w:val="nil"/>
            </w:tcBorders>
            <w:shd w:val="clear" w:color="auto" w:fill="auto"/>
            <w:vAlign w:val="center"/>
          </w:tcPr>
          <w:p w14:paraId="7282771C">
            <w:pPr>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3盘（每种规格）</w:t>
            </w:r>
          </w:p>
        </w:tc>
        <w:tc>
          <w:tcPr>
            <w:tcW w:w="2507" w:type="dxa"/>
            <w:tcBorders>
              <w:top w:val="single" w:color="auto" w:sz="8" w:space="0"/>
              <w:tl2br w:val="nil"/>
              <w:tr2bl w:val="nil"/>
            </w:tcBorders>
            <w:shd w:val="clear" w:color="auto" w:fill="auto"/>
            <w:vAlign w:val="center"/>
          </w:tcPr>
          <w:p w14:paraId="12206057">
            <w:pPr>
              <w:snapToGrid w:val="0"/>
              <w:rPr>
                <w:color w:val="000000"/>
              </w:rPr>
            </w:pPr>
            <w:r>
              <w:rPr>
                <w:color w:val="000000"/>
              </w:rPr>
              <w:t>随机抽取长度</w:t>
            </w:r>
            <w:r>
              <w:rPr>
                <w:rFonts w:hint="eastAsia"/>
                <w:color w:val="000000"/>
              </w:rPr>
              <w:t>7.5米</w:t>
            </w:r>
          </w:p>
        </w:tc>
      </w:tr>
      <w:tr w14:paraId="7A6763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75" w:type="dxa"/>
            <w:tcBorders>
              <w:tl2br w:val="nil"/>
              <w:tr2bl w:val="nil"/>
            </w:tcBorders>
            <w:shd w:val="clear" w:color="auto" w:fill="auto"/>
            <w:vAlign w:val="center"/>
          </w:tcPr>
          <w:p w14:paraId="00A21055">
            <w:pPr>
              <w:rPr>
                <w:color w:val="000000"/>
              </w:rPr>
            </w:pPr>
            <w:r>
              <w:rPr>
                <w:rFonts w:hint="eastAsia"/>
                <w:color w:val="000000"/>
              </w:rPr>
              <w:t>监督抽查</w:t>
            </w:r>
          </w:p>
        </w:tc>
        <w:tc>
          <w:tcPr>
            <w:tcW w:w="3314" w:type="dxa"/>
            <w:tcBorders>
              <w:tl2br w:val="nil"/>
              <w:tr2bl w:val="nil"/>
            </w:tcBorders>
            <w:shd w:val="clear" w:color="auto" w:fill="auto"/>
            <w:vAlign w:val="center"/>
          </w:tcPr>
          <w:p w14:paraId="64594CCA">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1盘（每种规格）+1盘（终端抽样）</w:t>
            </w:r>
          </w:p>
        </w:tc>
        <w:tc>
          <w:tcPr>
            <w:tcW w:w="1875" w:type="dxa"/>
            <w:tcBorders>
              <w:tl2br w:val="nil"/>
              <w:tr2bl w:val="nil"/>
            </w:tcBorders>
            <w:shd w:val="clear" w:color="auto" w:fill="auto"/>
            <w:vAlign w:val="center"/>
          </w:tcPr>
          <w:p w14:paraId="50E3DF43">
            <w:pPr>
              <w:rPr>
                <w:color w:val="000000"/>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3盘（每种规格）</w:t>
            </w:r>
          </w:p>
        </w:tc>
        <w:tc>
          <w:tcPr>
            <w:tcW w:w="2507" w:type="dxa"/>
            <w:tcBorders>
              <w:tl2br w:val="nil"/>
              <w:tr2bl w:val="nil"/>
            </w:tcBorders>
            <w:shd w:val="clear" w:color="auto" w:fill="auto"/>
            <w:vAlign w:val="center"/>
          </w:tcPr>
          <w:p w14:paraId="50F8F8A3">
            <w:pPr>
              <w:snapToGrid w:val="0"/>
              <w:rPr>
                <w:color w:val="000000"/>
              </w:rPr>
            </w:pPr>
            <w:r>
              <w:rPr>
                <w:color w:val="000000"/>
              </w:rPr>
              <w:t>随机抽取长度</w:t>
            </w:r>
            <w:r>
              <w:rPr>
                <w:rFonts w:hint="eastAsia"/>
                <w:color w:val="000000"/>
              </w:rPr>
              <w:t>7.5米</w:t>
            </w:r>
          </w:p>
        </w:tc>
      </w:tr>
      <w:tr w14:paraId="0BA25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75" w:type="dxa"/>
            <w:tcBorders>
              <w:tl2br w:val="nil"/>
              <w:tr2bl w:val="nil"/>
            </w:tcBorders>
            <w:shd w:val="clear" w:color="auto" w:fill="auto"/>
            <w:vAlign w:val="center"/>
          </w:tcPr>
          <w:p w14:paraId="72744D88">
            <w:pPr>
              <w:rPr>
                <w:color w:val="000000"/>
              </w:rPr>
            </w:pPr>
            <w:r>
              <w:rPr>
                <w:rFonts w:hint="eastAsia"/>
                <w:color w:val="000000"/>
              </w:rPr>
              <w:t>监督检测</w:t>
            </w:r>
          </w:p>
        </w:tc>
        <w:tc>
          <w:tcPr>
            <w:tcW w:w="3314" w:type="dxa"/>
            <w:tcBorders>
              <w:tl2br w:val="nil"/>
              <w:tr2bl w:val="nil"/>
            </w:tcBorders>
            <w:shd w:val="clear" w:color="auto" w:fill="auto"/>
            <w:vAlign w:val="center"/>
          </w:tcPr>
          <w:p w14:paraId="72CF5D61">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1盘</w:t>
            </w:r>
          </w:p>
        </w:tc>
        <w:tc>
          <w:tcPr>
            <w:tcW w:w="1875" w:type="dxa"/>
            <w:tcBorders>
              <w:tl2br w:val="nil"/>
              <w:tr2bl w:val="nil"/>
            </w:tcBorders>
            <w:shd w:val="clear" w:color="auto" w:fill="auto"/>
            <w:vAlign w:val="center"/>
          </w:tcPr>
          <w:p w14:paraId="183E3F90">
            <w:pPr>
              <w:rPr>
                <w:color w:val="000000"/>
              </w:rPr>
            </w:pPr>
            <w:r>
              <w:rPr>
                <w:rFonts w:hint="eastAsia" w:asciiTheme="minorEastAsia" w:hAnsiTheme="minorEastAsia" w:eastAsiaTheme="minorEastAsia" w:cstheme="minorEastAsia"/>
                <w:color w:val="000000" w:themeColor="text1"/>
                <w14:textFill>
                  <w14:solidFill>
                    <w14:schemeClr w14:val="tx1"/>
                  </w14:solidFill>
                </w14:textFill>
              </w:rPr>
              <w:t>终端抽样</w:t>
            </w:r>
          </w:p>
        </w:tc>
        <w:tc>
          <w:tcPr>
            <w:tcW w:w="2507" w:type="dxa"/>
            <w:tcBorders>
              <w:tl2br w:val="nil"/>
              <w:tr2bl w:val="nil"/>
            </w:tcBorders>
            <w:shd w:val="clear" w:color="auto" w:fill="auto"/>
            <w:vAlign w:val="center"/>
          </w:tcPr>
          <w:p w14:paraId="27192B64">
            <w:pPr>
              <w:snapToGrid w:val="0"/>
              <w:rPr>
                <w:color w:val="000000"/>
              </w:rPr>
            </w:pPr>
            <w:r>
              <w:rPr>
                <w:color w:val="000000"/>
              </w:rPr>
              <w:t>随机抽取长度</w:t>
            </w:r>
            <w:r>
              <w:rPr>
                <w:rFonts w:hint="eastAsia"/>
                <w:color w:val="000000"/>
              </w:rPr>
              <w:t>7.5米</w:t>
            </w:r>
          </w:p>
        </w:tc>
      </w:tr>
      <w:tr w14:paraId="511E5D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71" w:type="dxa"/>
            <w:gridSpan w:val="4"/>
            <w:tcBorders>
              <w:tl2br w:val="nil"/>
              <w:tr2bl w:val="nil"/>
            </w:tcBorders>
            <w:vAlign w:val="center"/>
          </w:tcPr>
          <w:p w14:paraId="0C611D76">
            <w:pPr>
              <w:pStyle w:val="8"/>
              <w:ind w:firstLine="0" w:firstLineChars="0"/>
              <w:jc w:val="left"/>
              <w:rPr>
                <w:color w:val="000000" w:themeColor="text1"/>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注</w:t>
            </w:r>
            <w:r>
              <w:rPr>
                <w:rFonts w:hint="eastAsia" w:ascii="黑体" w:hAnsi="黑体" w:eastAsia="黑体" w:cs="黑体"/>
                <w:color w:val="000000" w:themeColor="text1"/>
                <w14:textFill>
                  <w14:solidFill>
                    <w14:schemeClr w14:val="tx1"/>
                  </w14:solidFill>
                </w14:textFill>
              </w:rPr>
              <w:t>1</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型式检验和监督检测：</w:t>
            </w:r>
          </w:p>
          <w:p w14:paraId="4DD88615">
            <w:pPr>
              <w:pStyle w:val="8"/>
              <w:ind w:firstLine="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1）型式检验样品：每种型号的产品及规格在成品库各抽取1盘，一种规格进行型式检验，其余规格进行监督检测（除外护套耐腐蚀试验）；此外在企业生产线终端抽取每种型号任意规格1盘进行监督检测。</w:t>
            </w:r>
          </w:p>
          <w:p w14:paraId="00D91165">
            <w:pPr>
              <w:pStyle w:val="8"/>
              <w:ind w:firstLine="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2）监督检测样品：在企业生产线终端抽取经检测合格后的每种型号任意规格样品1盘。</w:t>
            </w:r>
          </w:p>
          <w:p w14:paraId="1E18FCD8">
            <w:pPr>
              <w:pStyle w:val="8"/>
              <w:ind w:firstLine="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3）每盘长度不应低于1000 m。</w:t>
            </w:r>
          </w:p>
          <w:p w14:paraId="4EC8545C">
            <w:pPr>
              <w:pStyle w:val="8"/>
              <w:ind w:firstLine="0" w:firstLineChars="0"/>
              <w:jc w:val="left"/>
              <w:rPr>
                <w:color w:val="000000" w:themeColor="text1"/>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注</w:t>
            </w:r>
            <w:r>
              <w:rPr>
                <w:rFonts w:hint="eastAsia" w:ascii="黑体" w:hAnsi="黑体" w:eastAsia="黑体" w:cs="黑体"/>
                <w:color w:val="000000" w:themeColor="text1"/>
                <w14:textFill>
                  <w14:solidFill>
                    <w14:schemeClr w14:val="tx1"/>
                  </w14:solidFill>
                </w14:textFill>
              </w:rPr>
              <w:t>2</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产品监督抽查时，抽取与抽样型号规格、数量相同的备用样品，备用样品封存于抽样生产企业或抽样用户；具体抽样数量可根据检验项目进行调整。</w:t>
            </w:r>
          </w:p>
          <w:p w14:paraId="1B736DE4">
            <w:pPr>
              <w:pStyle w:val="8"/>
              <w:ind w:firstLine="0" w:firstLineChars="0"/>
              <w:jc w:val="left"/>
              <w:rPr>
                <w:color w:val="000000" w:themeColor="text1"/>
                <w:kern w:val="0"/>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注</w:t>
            </w:r>
            <w:r>
              <w:rPr>
                <w:rFonts w:hint="eastAsia" w:ascii="黑体" w:hAnsi="黑体" w:eastAsia="黑体" w:cs="黑体"/>
                <w:color w:val="000000" w:themeColor="text1"/>
                <w14:textFill>
                  <w14:solidFill>
                    <w14:schemeClr w14:val="tx1"/>
                  </w14:solidFill>
                </w14:textFill>
              </w:rPr>
              <w:t>3</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在用户抽样时，不作基数要求；在监督抽查时，生产企业抽样少于抽样基数要求时，以实际库存数量为基数抽取样品；其他情况按抽样基数要求抽样。</w:t>
            </w:r>
          </w:p>
          <w:p w14:paraId="3DDC8D1D">
            <w:pPr>
              <w:pStyle w:val="8"/>
              <w:ind w:firstLine="0" w:firstLineChars="0"/>
              <w:jc w:val="left"/>
              <w:rPr>
                <w:color w:val="000000" w:themeColor="text1"/>
                <w:kern w:val="0"/>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注</w:t>
            </w:r>
            <w:r>
              <w:rPr>
                <w:rFonts w:hint="eastAsia" w:ascii="黑体" w:hAnsi="黑体" w:eastAsia="黑体" w:cs="黑体"/>
                <w:color w:val="000000" w:themeColor="text1"/>
                <w14:textFill>
                  <w14:solidFill>
                    <w14:schemeClr w14:val="tx1"/>
                  </w14:solidFill>
                </w14:textFill>
              </w:rPr>
              <w:t>4</w:t>
            </w:r>
            <w:r>
              <w:rPr>
                <w:rFonts w:hint="eastAsia" w:ascii="黑体" w:hAnsi="黑体" w:eastAsia="黑体" w:cs="黑体"/>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型式检验：抽取1种规格型号产品进行检测。</w:t>
            </w:r>
          </w:p>
        </w:tc>
      </w:tr>
    </w:tbl>
    <w:p w14:paraId="05FA7FCD">
      <w:pPr>
        <w:pStyle w:val="54"/>
        <w:numPr>
          <w:ilvl w:val="3"/>
          <w:numId w:val="1"/>
        </w:numPr>
        <w:spacing w:beforeLines="50" w:afterLines="50"/>
        <w:jc w:val="both"/>
        <w:rPr>
          <w:rFonts w:ascii="宋体" w:hAnsi="宋体" w:eastAsia="宋体" w:cs="黑体"/>
        </w:rPr>
      </w:pPr>
      <w:bookmarkStart w:id="150" w:name="_Hlk186125324"/>
      <w:bookmarkStart w:id="151" w:name="_Hlk185859171"/>
      <w:bookmarkStart w:id="152" w:name="_Hlk186125078"/>
      <w:bookmarkStart w:id="153" w:name="_Hlk185860028"/>
      <w:r>
        <w:rPr>
          <w:rFonts w:hint="eastAsia" w:ascii="宋体" w:hAnsi="宋体" w:eastAsia="宋体" w:cs="黑体"/>
        </w:rPr>
        <w:t>产品认证</w:t>
      </w:r>
      <w:r>
        <w:rPr>
          <w:rFonts w:ascii="宋体" w:hAnsi="宋体" w:eastAsia="宋体" w:cs="黑体"/>
        </w:rPr>
        <w:t>抽样除满足4.2.1.1要求外，还需满足下列要求</w:t>
      </w:r>
      <w:bookmarkEnd w:id="150"/>
      <w:r>
        <w:rPr>
          <w:rFonts w:ascii="宋体" w:hAnsi="宋体" w:eastAsia="宋体" w:cs="黑体"/>
        </w:rPr>
        <w:t>：</w:t>
      </w:r>
      <w:bookmarkEnd w:id="151"/>
    </w:p>
    <w:bookmarkEnd w:id="152"/>
    <w:p w14:paraId="7605891A">
      <w:pPr>
        <w:pStyle w:val="31"/>
        <w:jc w:val="both"/>
        <w:rPr>
          <w:rFonts w:ascii="宋体" w:hAnsi="宋体"/>
          <w:szCs w:val="21"/>
        </w:rPr>
      </w:pPr>
      <w:r>
        <w:rPr>
          <w:rFonts w:ascii="宋体" w:hAnsi="宋体"/>
          <w:szCs w:val="21"/>
        </w:rPr>
        <w:t>1）产品认证初次或复评检测按表4中说明</w:t>
      </w:r>
      <w:r>
        <w:rPr>
          <w:rFonts w:hint="eastAsia" w:ascii="宋体" w:hAnsi="宋体"/>
          <w:szCs w:val="21"/>
        </w:rPr>
        <w:t>1</w:t>
      </w:r>
      <w:r>
        <w:rPr>
          <w:rFonts w:ascii="宋体" w:hAnsi="宋体"/>
          <w:szCs w:val="21"/>
        </w:rPr>
        <w:t>抽取样品，监督检测抽取样品数量</w:t>
      </w:r>
      <w:r>
        <w:rPr>
          <w:rFonts w:hint="eastAsia" w:ascii="宋体" w:hAnsi="宋体"/>
          <w:szCs w:val="21"/>
        </w:rPr>
        <w:t>1盘</w:t>
      </w:r>
      <w:r>
        <w:rPr>
          <w:rFonts w:ascii="宋体" w:hAnsi="宋体"/>
          <w:szCs w:val="21"/>
        </w:rPr>
        <w:t>。</w:t>
      </w:r>
    </w:p>
    <w:p w14:paraId="4D699C09">
      <w:pPr>
        <w:pStyle w:val="31"/>
        <w:jc w:val="both"/>
        <w:rPr>
          <w:rFonts w:ascii="宋体" w:hAnsi="宋体"/>
          <w:szCs w:val="21"/>
        </w:rPr>
      </w:pPr>
      <w:r>
        <w:rPr>
          <w:rFonts w:ascii="宋体" w:hAnsi="宋体"/>
          <w:szCs w:val="21"/>
        </w:rPr>
        <w:t>2）产品认证初次或复评时，选取1种</w:t>
      </w:r>
      <w:r>
        <w:rPr>
          <w:rFonts w:hint="eastAsia" w:ascii="宋体" w:hAnsi="宋体"/>
          <w:szCs w:val="21"/>
        </w:rPr>
        <w:t>规格</w:t>
      </w:r>
      <w:r>
        <w:rPr>
          <w:rFonts w:ascii="宋体" w:hAnsi="宋体"/>
          <w:szCs w:val="21"/>
        </w:rPr>
        <w:t>进行初次/复评检测，其他规格进行监督检测。</w:t>
      </w:r>
    </w:p>
    <w:p w14:paraId="6793ED31">
      <w:pPr>
        <w:pStyle w:val="31"/>
        <w:jc w:val="both"/>
        <w:rPr>
          <w:rFonts w:ascii="宋体" w:hAnsi="宋体"/>
          <w:szCs w:val="21"/>
        </w:rPr>
      </w:pPr>
      <w:r>
        <w:rPr>
          <w:rFonts w:ascii="宋体" w:hAnsi="宋体"/>
          <w:szCs w:val="21"/>
        </w:rPr>
        <w:t>3）产品认证监督检测时，选取1种规格进行监督检测。</w:t>
      </w:r>
    </w:p>
    <w:p w14:paraId="30FF6E88">
      <w:pPr>
        <w:pStyle w:val="31"/>
        <w:jc w:val="both"/>
        <w:rPr>
          <w:rFonts w:asciiTheme="minorEastAsia" w:hAnsiTheme="minorEastAsia" w:eastAsiaTheme="minorEastAsia"/>
          <w:szCs w:val="21"/>
        </w:rPr>
      </w:pPr>
      <w:r>
        <w:rPr>
          <w:rFonts w:ascii="宋体" w:hAnsi="宋体"/>
          <w:szCs w:val="21"/>
        </w:rPr>
        <w:t>4）认证检测可采信2年内国家铁路局产品监督抽查检测结果。</w:t>
      </w:r>
    </w:p>
    <w:bookmarkEnd w:id="153"/>
    <w:p w14:paraId="14FEEB16">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抽样地点</w:t>
      </w:r>
    </w:p>
    <w:p w14:paraId="128D7327">
      <w:pPr>
        <w:pStyle w:val="3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生产企业或用户</w:t>
      </w:r>
      <w:r>
        <w:rPr>
          <w:rFonts w:hint="eastAsia" w:ascii="宋体" w:hAnsi="宋体"/>
        </w:rPr>
        <w:t>（产品认证时，由认证机构确认用户现场）</w:t>
      </w:r>
      <w:r>
        <w:rPr>
          <w:rFonts w:hint="eastAsia"/>
          <w:color w:val="000000" w:themeColor="text1"/>
          <w14:textFill>
            <w14:solidFill>
              <w14:schemeClr w14:val="tx1"/>
            </w14:solidFill>
          </w14:textFill>
        </w:rPr>
        <w:t>。</w:t>
      </w:r>
    </w:p>
    <w:p w14:paraId="57874F92">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抽样要求</w:t>
      </w:r>
    </w:p>
    <w:p w14:paraId="7D047AEA">
      <w:pPr>
        <w:pStyle w:val="54"/>
        <w:numPr>
          <w:ilvl w:val="3"/>
          <w:numId w:val="1"/>
        </w:numPr>
        <w:spacing w:before="0" w:after="0"/>
        <w:jc w:val="both"/>
        <w:rPr>
          <w:rFonts w:ascii="Times New Roman"/>
        </w:rPr>
      </w:pPr>
      <w:bookmarkStart w:id="154" w:name="_Toc11564"/>
      <w:r>
        <w:rPr>
          <w:rFonts w:hint="eastAsia" w:ascii="Times New Roman"/>
        </w:rPr>
        <w:t>抽样人员应当按照抽样方案进行抽样，并记录抽样信息，抽样人员不少于</w:t>
      </w:r>
      <w:r>
        <w:rPr>
          <w:rFonts w:ascii="Times New Roman"/>
        </w:rPr>
        <w:t>2</w:t>
      </w:r>
      <w:r>
        <w:rPr>
          <w:rFonts w:hint="eastAsia" w:ascii="Times New Roman"/>
        </w:rPr>
        <w:t>名</w:t>
      </w:r>
      <w:r>
        <w:rPr>
          <w:rFonts w:ascii="宋体" w:hAnsi="宋体" w:eastAsia="宋体"/>
        </w:rPr>
        <w:t>（产品认证时，抽样工作由认证机构或其委托的检验检测机构的人员进行）</w:t>
      </w:r>
      <w:r>
        <w:rPr>
          <w:rFonts w:hint="eastAsia" w:ascii="Times New Roman"/>
        </w:rPr>
        <w:t>。</w:t>
      </w:r>
    </w:p>
    <w:p w14:paraId="2FEC4BE9">
      <w:pPr>
        <w:pStyle w:val="54"/>
        <w:numPr>
          <w:ilvl w:val="3"/>
          <w:numId w:val="1"/>
        </w:numPr>
        <w:spacing w:before="0" w:after="0"/>
        <w:jc w:val="both"/>
        <w:rPr>
          <w:rFonts w:ascii="Times New Roman"/>
        </w:rPr>
      </w:pPr>
      <w:r>
        <w:rPr>
          <w:rFonts w:hint="eastAsia" w:ascii="Times New Roman"/>
        </w:rPr>
        <w:t>样本应是近期内（</w:t>
      </w:r>
      <w:bookmarkStart w:id="155" w:name="_Hlk184227114"/>
      <w:bookmarkStart w:id="156" w:name="_Hlk184642656"/>
      <w:r>
        <w:rPr>
          <w:rFonts w:hint="eastAsia" w:ascii="Times New Roman"/>
        </w:rPr>
        <w:t>一般</w:t>
      </w:r>
      <w:bookmarkEnd w:id="155"/>
      <w:r>
        <w:rPr>
          <w:rFonts w:hint="eastAsia" w:ascii="Times New Roman"/>
        </w:rPr>
        <w:t>为</w:t>
      </w:r>
      <w:bookmarkEnd w:id="156"/>
      <w:r>
        <w:rPr>
          <w:rFonts w:hint="eastAsia" w:ascii="Times New Roman"/>
        </w:rPr>
        <w:t>抽样前1年内）生产的并经过检验合格、未经使用的产品。</w:t>
      </w:r>
    </w:p>
    <w:p w14:paraId="1728E883">
      <w:pPr>
        <w:pStyle w:val="54"/>
        <w:numPr>
          <w:ilvl w:val="3"/>
          <w:numId w:val="1"/>
        </w:numPr>
        <w:tabs>
          <w:tab w:val="left" w:pos="0"/>
        </w:tabs>
        <w:spacing w:before="0" w:after="0"/>
        <w:jc w:val="both"/>
      </w:pPr>
      <w:r>
        <w:rPr>
          <w:rFonts w:hint="eastAsia"/>
        </w:rPr>
        <w:t>抽样人员应当采取有效措施对样品进行封样，保证样品真实、完整、有效。样品应按约定的时间和方式送至指定的检验检测地点。</w:t>
      </w:r>
    </w:p>
    <w:p w14:paraId="176CAC47">
      <w:pPr>
        <w:pStyle w:val="53"/>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检验条件</w:t>
      </w:r>
      <w:bookmarkEnd w:id="154"/>
    </w:p>
    <w:p w14:paraId="3F19EC98">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检验环境条件</w:t>
      </w:r>
    </w:p>
    <w:p w14:paraId="60966406">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检验环境条件按</w:t>
      </w:r>
      <w:r>
        <w:rPr>
          <w:color w:val="000000" w:themeColor="text1"/>
          <w14:textFill>
            <w14:solidFill>
              <w14:schemeClr w14:val="tx1"/>
            </w14:solidFill>
          </w14:textFill>
        </w:rPr>
        <w:t>TB/T 3479-2017</w:t>
      </w:r>
      <w:r>
        <w:rPr>
          <w:rFonts w:hint="eastAsia"/>
          <w:color w:val="000000" w:themeColor="text1"/>
          <w14:textFill>
            <w14:solidFill>
              <w14:schemeClr w14:val="tx1"/>
            </w14:solidFill>
          </w14:textFill>
        </w:rPr>
        <w:t>标准规定的试验条件执行。</w:t>
      </w:r>
    </w:p>
    <w:p w14:paraId="04882E19">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检验用主要仪器仪表及设备</w:t>
      </w:r>
    </w:p>
    <w:p w14:paraId="775D287B">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检验用主要仪器仪表及设备应符合表</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的要求。</w:t>
      </w:r>
    </w:p>
    <w:p w14:paraId="4BE6E7C0">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w:t>
      </w:r>
      <w:r>
        <w:rPr>
          <w:rFonts w:ascii="黑体" w:hAnsi="黑体" w:eastAsia="黑体" w:cs="黑体"/>
          <w:color w:val="000000" w:themeColor="text1"/>
          <w14:textFill>
            <w14:solidFill>
              <w14:schemeClr w14:val="tx1"/>
            </w14:solidFill>
          </w14:textFill>
        </w:rPr>
        <w:t>5</w:t>
      </w:r>
      <w:r>
        <w:rPr>
          <w:rFonts w:hint="eastAsia" w:ascii="黑体" w:hAnsi="黑体" w:eastAsia="黑体" w:cs="黑体"/>
          <w:color w:val="000000" w:themeColor="text1"/>
          <w14:textFill>
            <w14:solidFill>
              <w14:schemeClr w14:val="tx1"/>
            </w14:solidFill>
          </w14:textFill>
        </w:rPr>
        <w:t xml:space="preserve">  检验用主要仪器仪表及设备</w:t>
      </w:r>
    </w:p>
    <w:tbl>
      <w:tblPr>
        <w:tblStyle w:val="25"/>
        <w:tblW w:w="95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2"/>
        <w:gridCol w:w="3060"/>
        <w:gridCol w:w="3016"/>
        <w:gridCol w:w="1737"/>
        <w:gridCol w:w="1086"/>
      </w:tblGrid>
      <w:tr w14:paraId="16B745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2" w:type="dxa"/>
            <w:vMerge w:val="restart"/>
            <w:tcBorders>
              <w:tl2br w:val="nil"/>
              <w:tr2bl w:val="nil"/>
            </w:tcBorders>
            <w:vAlign w:val="center"/>
          </w:tcPr>
          <w:p w14:paraId="74558E55">
            <w:pPr>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3060" w:type="dxa"/>
            <w:vMerge w:val="restart"/>
            <w:tcBorders>
              <w:tl2br w:val="nil"/>
              <w:tr2bl w:val="nil"/>
            </w:tcBorders>
            <w:vAlign w:val="center"/>
          </w:tcPr>
          <w:p w14:paraId="11424E10">
            <w:pPr>
              <w:rPr>
                <w:color w:val="000000" w:themeColor="text1"/>
                <w14:textFill>
                  <w14:solidFill>
                    <w14:schemeClr w14:val="tx1"/>
                  </w14:solidFill>
                </w14:textFill>
              </w:rPr>
            </w:pPr>
            <w:r>
              <w:rPr>
                <w:rFonts w:hint="eastAsia"/>
                <w:color w:val="000000" w:themeColor="text1"/>
                <w14:textFill>
                  <w14:solidFill>
                    <w14:schemeClr w14:val="tx1"/>
                  </w14:solidFill>
                </w14:textFill>
              </w:rPr>
              <w:t>仪器仪表及设备名称</w:t>
            </w:r>
          </w:p>
        </w:tc>
        <w:tc>
          <w:tcPr>
            <w:tcW w:w="4753" w:type="dxa"/>
            <w:gridSpan w:val="2"/>
            <w:tcBorders>
              <w:tl2br w:val="nil"/>
              <w:tr2bl w:val="nil"/>
            </w:tcBorders>
            <w:vAlign w:val="center"/>
          </w:tcPr>
          <w:p w14:paraId="37B986F7">
            <w:pPr>
              <w:rPr>
                <w:color w:val="000000" w:themeColor="text1"/>
                <w14:textFill>
                  <w14:solidFill>
                    <w14:schemeClr w14:val="tx1"/>
                  </w14:solidFill>
                </w14:textFill>
              </w:rPr>
            </w:pPr>
            <w:r>
              <w:rPr>
                <w:rFonts w:hint="eastAsia"/>
                <w:color w:val="000000" w:themeColor="text1"/>
                <w14:textFill>
                  <w14:solidFill>
                    <w14:schemeClr w14:val="tx1"/>
                  </w14:solidFill>
                </w14:textFill>
              </w:rPr>
              <w:t>规格</w:t>
            </w:r>
          </w:p>
        </w:tc>
        <w:tc>
          <w:tcPr>
            <w:tcW w:w="1086" w:type="dxa"/>
            <w:vMerge w:val="restart"/>
            <w:tcBorders>
              <w:tl2br w:val="nil"/>
              <w:tr2bl w:val="nil"/>
            </w:tcBorders>
            <w:vAlign w:val="center"/>
          </w:tcPr>
          <w:p w14:paraId="637B92B0">
            <w:pPr>
              <w:rPr>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14:paraId="28F8BA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2" w:type="dxa"/>
            <w:vMerge w:val="continue"/>
            <w:tcBorders>
              <w:bottom w:val="single" w:color="auto" w:sz="8" w:space="0"/>
              <w:tl2br w:val="nil"/>
              <w:tr2bl w:val="nil"/>
            </w:tcBorders>
            <w:vAlign w:val="center"/>
          </w:tcPr>
          <w:p w14:paraId="0FEF381F">
            <w:pPr>
              <w:rPr>
                <w:color w:val="000000" w:themeColor="text1"/>
                <w14:textFill>
                  <w14:solidFill>
                    <w14:schemeClr w14:val="tx1"/>
                  </w14:solidFill>
                </w14:textFill>
              </w:rPr>
            </w:pPr>
          </w:p>
        </w:tc>
        <w:tc>
          <w:tcPr>
            <w:tcW w:w="3060" w:type="dxa"/>
            <w:vMerge w:val="continue"/>
            <w:tcBorders>
              <w:bottom w:val="single" w:color="auto" w:sz="8" w:space="0"/>
              <w:tl2br w:val="nil"/>
              <w:tr2bl w:val="nil"/>
            </w:tcBorders>
            <w:vAlign w:val="center"/>
          </w:tcPr>
          <w:p w14:paraId="6748C8B6">
            <w:pPr>
              <w:rPr>
                <w:color w:val="000000" w:themeColor="text1"/>
                <w14:textFill>
                  <w14:solidFill>
                    <w14:schemeClr w14:val="tx1"/>
                  </w14:solidFill>
                </w14:textFill>
              </w:rPr>
            </w:pPr>
          </w:p>
        </w:tc>
        <w:tc>
          <w:tcPr>
            <w:tcW w:w="3016" w:type="dxa"/>
            <w:tcBorders>
              <w:bottom w:val="single" w:color="auto" w:sz="8" w:space="0"/>
              <w:tl2br w:val="nil"/>
              <w:tr2bl w:val="nil"/>
            </w:tcBorders>
            <w:vAlign w:val="center"/>
          </w:tcPr>
          <w:p w14:paraId="6E48EAF2">
            <w:pPr>
              <w:rPr>
                <w:color w:val="000000" w:themeColor="text1"/>
                <w14:textFill>
                  <w14:solidFill>
                    <w14:schemeClr w14:val="tx1"/>
                  </w14:solidFill>
                </w14:textFill>
              </w:rPr>
            </w:pPr>
            <w:r>
              <w:rPr>
                <w:rFonts w:hint="eastAsia"/>
                <w:color w:val="000000" w:themeColor="text1"/>
                <w14:textFill>
                  <w14:solidFill>
                    <w14:schemeClr w14:val="tx1"/>
                  </w14:solidFill>
                </w14:textFill>
              </w:rPr>
              <w:t>量程</w:t>
            </w:r>
          </w:p>
        </w:tc>
        <w:tc>
          <w:tcPr>
            <w:tcW w:w="1737" w:type="dxa"/>
            <w:tcBorders>
              <w:bottom w:val="single" w:color="auto" w:sz="8" w:space="0"/>
              <w:tl2br w:val="nil"/>
              <w:tr2bl w:val="nil"/>
            </w:tcBorders>
            <w:vAlign w:val="center"/>
          </w:tcPr>
          <w:p w14:paraId="7E6A3747">
            <w:pPr>
              <w:rPr>
                <w:color w:val="000000" w:themeColor="text1"/>
                <w14:textFill>
                  <w14:solidFill>
                    <w14:schemeClr w14:val="tx1"/>
                  </w14:solidFill>
                </w14:textFill>
              </w:rPr>
            </w:pPr>
            <w:r>
              <w:rPr>
                <w:rFonts w:hint="eastAsia"/>
                <w:color w:val="000000" w:themeColor="text1"/>
                <w14:textFill>
                  <w14:solidFill>
                    <w14:schemeClr w14:val="tx1"/>
                  </w14:solidFill>
                </w14:textFill>
              </w:rPr>
              <w:t>准确度/分度值</w:t>
            </w:r>
          </w:p>
        </w:tc>
        <w:tc>
          <w:tcPr>
            <w:tcW w:w="1086" w:type="dxa"/>
            <w:vMerge w:val="continue"/>
            <w:tcBorders>
              <w:bottom w:val="single" w:color="auto" w:sz="8" w:space="0"/>
              <w:tl2br w:val="nil"/>
              <w:tr2bl w:val="nil"/>
            </w:tcBorders>
            <w:vAlign w:val="center"/>
          </w:tcPr>
          <w:p w14:paraId="4BD79840">
            <w:pPr>
              <w:rPr>
                <w:color w:val="000000" w:themeColor="text1"/>
                <w14:textFill>
                  <w14:solidFill>
                    <w14:schemeClr w14:val="tx1"/>
                  </w14:solidFill>
                </w14:textFill>
              </w:rPr>
            </w:pPr>
          </w:p>
        </w:tc>
      </w:tr>
      <w:tr w14:paraId="0AC2DE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tcBorders>
              <w:top w:val="single" w:color="auto" w:sz="8" w:space="0"/>
            </w:tcBorders>
            <w:vAlign w:val="center"/>
          </w:tcPr>
          <w:p w14:paraId="69054BCC">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w:t>
            </w:r>
          </w:p>
        </w:tc>
        <w:tc>
          <w:tcPr>
            <w:tcW w:w="3060" w:type="dxa"/>
            <w:tcBorders>
              <w:top w:val="single" w:color="auto" w:sz="8" w:space="0"/>
            </w:tcBorders>
            <w:shd w:val="clear" w:color="auto" w:fill="auto"/>
            <w:vAlign w:val="center"/>
          </w:tcPr>
          <w:p w14:paraId="0B39C63A">
            <w:pPr>
              <w:rPr>
                <w:color w:val="000000" w:themeColor="text1"/>
                <w14:textFill>
                  <w14:solidFill>
                    <w14:schemeClr w14:val="tx1"/>
                  </w14:solidFill>
                </w14:textFill>
              </w:rPr>
            </w:pPr>
            <w:r>
              <w:rPr>
                <w:rFonts w:hint="eastAsia"/>
                <w:color w:val="000000" w:themeColor="text1"/>
                <w14:textFill>
                  <w14:solidFill>
                    <w14:schemeClr w14:val="tx1"/>
                  </w14:solidFill>
                </w14:textFill>
              </w:rPr>
              <w:t>高低温环境试验箱</w:t>
            </w:r>
          </w:p>
        </w:tc>
        <w:tc>
          <w:tcPr>
            <w:tcW w:w="3016" w:type="dxa"/>
            <w:tcBorders>
              <w:top w:val="single" w:color="auto" w:sz="8" w:space="0"/>
            </w:tcBorders>
            <w:shd w:val="clear" w:color="auto" w:fill="auto"/>
            <w:vAlign w:val="center"/>
          </w:tcPr>
          <w:p w14:paraId="42764EE0">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tcBorders>
              <w:top w:val="single" w:color="auto" w:sz="8" w:space="0"/>
            </w:tcBorders>
            <w:shd w:val="clear" w:color="auto" w:fill="auto"/>
            <w:vAlign w:val="center"/>
          </w:tcPr>
          <w:p w14:paraId="4FBCBCDE">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tcBorders>
              <w:top w:val="single" w:color="auto" w:sz="8" w:space="0"/>
            </w:tcBorders>
            <w:shd w:val="clear" w:color="auto" w:fill="auto"/>
            <w:vAlign w:val="center"/>
          </w:tcPr>
          <w:p w14:paraId="16A6742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2CE797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vAlign w:val="center"/>
          </w:tcPr>
          <w:p w14:paraId="70DACDE9">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2</w:t>
            </w:r>
          </w:p>
        </w:tc>
        <w:tc>
          <w:tcPr>
            <w:tcW w:w="3060" w:type="dxa"/>
            <w:shd w:val="clear" w:color="auto" w:fill="auto"/>
            <w:vAlign w:val="center"/>
          </w:tcPr>
          <w:p w14:paraId="151A6234">
            <w:pPr>
              <w:rPr>
                <w:color w:val="000000" w:themeColor="text1"/>
                <w14:textFill>
                  <w14:solidFill>
                    <w14:schemeClr w14:val="tx1"/>
                  </w14:solidFill>
                </w14:textFill>
              </w:rPr>
            </w:pPr>
            <w:r>
              <w:rPr>
                <w:rFonts w:hint="eastAsia"/>
                <w:color w:val="000000" w:themeColor="text1"/>
                <w14:textFill>
                  <w14:solidFill>
                    <w14:schemeClr w14:val="tx1"/>
                  </w14:solidFill>
                </w14:textFill>
              </w:rPr>
              <w:t>盐雾试验箱</w:t>
            </w:r>
          </w:p>
        </w:tc>
        <w:tc>
          <w:tcPr>
            <w:tcW w:w="3016" w:type="dxa"/>
            <w:shd w:val="clear" w:color="auto" w:fill="auto"/>
            <w:vAlign w:val="center"/>
          </w:tcPr>
          <w:p w14:paraId="2520ED88">
            <w:pPr>
              <w:ind w:right="-57"/>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2A25EFF2">
            <w:pPr>
              <w:ind w:right="-57"/>
              <w:rPr>
                <w:color w:val="000000" w:themeColor="text1"/>
                <w14:textFill>
                  <w14:solidFill>
                    <w14:schemeClr w14:val="tx1"/>
                  </w14:solidFill>
                </w14:textFill>
              </w:rPr>
            </w:pPr>
            <w:r>
              <w:rPr>
                <w:rFonts w:hint="eastAsia"/>
                <w:color w:val="000000" w:themeColor="text1"/>
                <w14:textFill>
                  <w14:solidFill>
                    <w14:schemeClr w14:val="tx1"/>
                  </w14:solidFill>
                </w14:textFill>
              </w:rPr>
              <w:t>±2 ℃</w:t>
            </w:r>
          </w:p>
        </w:tc>
        <w:tc>
          <w:tcPr>
            <w:tcW w:w="1086" w:type="dxa"/>
            <w:shd w:val="clear" w:color="auto" w:fill="auto"/>
            <w:vAlign w:val="center"/>
          </w:tcPr>
          <w:p w14:paraId="0C72D87B">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68B5B7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vAlign w:val="center"/>
          </w:tcPr>
          <w:p w14:paraId="4BB30CD5">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w:t>
            </w:r>
          </w:p>
        </w:tc>
        <w:tc>
          <w:tcPr>
            <w:tcW w:w="3060" w:type="dxa"/>
            <w:shd w:val="clear" w:color="auto" w:fill="auto"/>
            <w:vAlign w:val="center"/>
          </w:tcPr>
          <w:p w14:paraId="2F0035AD">
            <w:pPr>
              <w:rPr>
                <w:color w:val="000000" w:themeColor="text1"/>
                <w14:textFill>
                  <w14:solidFill>
                    <w14:schemeClr w14:val="tx1"/>
                  </w14:solidFill>
                </w14:textFill>
              </w:rPr>
            </w:pPr>
            <w:r>
              <w:rPr>
                <w:rFonts w:hint="eastAsia"/>
                <w:szCs w:val="21"/>
              </w:rPr>
              <w:t>微机控制电子万能材料试验机</w:t>
            </w:r>
          </w:p>
        </w:tc>
        <w:tc>
          <w:tcPr>
            <w:tcW w:w="3016" w:type="dxa"/>
            <w:shd w:val="clear" w:color="auto" w:fill="auto"/>
            <w:vAlign w:val="center"/>
          </w:tcPr>
          <w:p w14:paraId="60AB290C">
            <w:pPr>
              <w:ind w:right="-57"/>
              <w:rPr>
                <w:color w:val="000000" w:themeColor="text1"/>
                <w14:textFill>
                  <w14:solidFill>
                    <w14:schemeClr w14:val="tx1"/>
                  </w14:solidFill>
                </w14:textFill>
              </w:rPr>
            </w:pPr>
            <w:bookmarkStart w:id="157" w:name="OLE_LINK1"/>
            <w:bookmarkStart w:id="158" w:name="OLE_LINK2"/>
            <w:r>
              <w:rPr>
                <w:rFonts w:hint="eastAsia"/>
                <w:color w:val="000000" w:themeColor="text1"/>
                <w14:textFill>
                  <w14:solidFill>
                    <w14:schemeClr w14:val="tx1"/>
                  </w14:solidFill>
                </w14:textFill>
              </w:rPr>
              <w:t>满足标准检验要求</w:t>
            </w:r>
            <w:bookmarkEnd w:id="157"/>
            <w:bookmarkEnd w:id="158"/>
          </w:p>
        </w:tc>
        <w:tc>
          <w:tcPr>
            <w:tcW w:w="1737" w:type="dxa"/>
            <w:shd w:val="clear" w:color="auto" w:fill="auto"/>
            <w:vAlign w:val="center"/>
          </w:tcPr>
          <w:p w14:paraId="010CB0E3">
            <w:pPr>
              <w:ind w:right="-57"/>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1级</w:t>
            </w:r>
          </w:p>
        </w:tc>
        <w:tc>
          <w:tcPr>
            <w:tcW w:w="1086" w:type="dxa"/>
            <w:shd w:val="clear" w:color="auto" w:fill="auto"/>
            <w:vAlign w:val="center"/>
          </w:tcPr>
          <w:p w14:paraId="5EEA972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6D387F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vAlign w:val="center"/>
          </w:tcPr>
          <w:p w14:paraId="1E41BA0E">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4</w:t>
            </w:r>
          </w:p>
        </w:tc>
        <w:tc>
          <w:tcPr>
            <w:tcW w:w="3060" w:type="dxa"/>
            <w:shd w:val="clear" w:color="auto" w:fill="auto"/>
            <w:vAlign w:val="center"/>
          </w:tcPr>
          <w:p w14:paraId="5A8B6A19">
            <w:pPr>
              <w:rPr>
                <w:rFonts w:asciiTheme="minorEastAsia" w:hAnsiTheme="minorEastAsia" w:eastAsiaTheme="minorEastAsia" w:cstheme="minorEastAsia"/>
                <w:color w:val="000000" w:themeColor="text1"/>
                <w14:textFill>
                  <w14:solidFill>
                    <w14:schemeClr w14:val="tx1"/>
                  </w14:solidFill>
                </w14:textFill>
              </w:rPr>
            </w:pPr>
            <w:r>
              <w:rPr>
                <w:rFonts w:hint="eastAsia"/>
                <w:szCs w:val="21"/>
              </w:rPr>
              <w:t>数码显微镜</w:t>
            </w:r>
          </w:p>
        </w:tc>
        <w:tc>
          <w:tcPr>
            <w:tcW w:w="3016" w:type="dxa"/>
            <w:shd w:val="clear" w:color="auto" w:fill="auto"/>
            <w:vAlign w:val="center"/>
          </w:tcPr>
          <w:p w14:paraId="05DDCF1A">
            <w:pPr>
              <w:rPr>
                <w:rFonts w:asciiTheme="minorEastAsia" w:hAnsiTheme="minorEastAsia" w:eastAsiaTheme="minorEastAsia"/>
                <w:color w:val="000000" w:themeColor="text1"/>
                <w:kern w:val="0"/>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295ED3A4">
            <w:pP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35EA0116">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BC850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2B8FDC19">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5</w:t>
            </w:r>
          </w:p>
        </w:tc>
        <w:tc>
          <w:tcPr>
            <w:tcW w:w="3060" w:type="dxa"/>
            <w:shd w:val="clear" w:color="auto" w:fill="auto"/>
            <w:vAlign w:val="center"/>
          </w:tcPr>
          <w:p w14:paraId="48FB6573">
            <w:pPr>
              <w:widowControl/>
              <w:rPr>
                <w:rFonts w:asciiTheme="minorEastAsia" w:hAnsiTheme="minorEastAsia" w:eastAsiaTheme="minorEastAsia" w:cstheme="minorEastAsia"/>
                <w:color w:val="000000" w:themeColor="text1"/>
                <w14:textFill>
                  <w14:solidFill>
                    <w14:schemeClr w14:val="tx1"/>
                  </w14:solidFill>
                </w14:textFill>
              </w:rPr>
            </w:pPr>
            <w:r>
              <w:rPr>
                <w:rFonts w:hint="eastAsia"/>
                <w:szCs w:val="21"/>
              </w:rPr>
              <w:t>游标卡尺</w:t>
            </w:r>
          </w:p>
        </w:tc>
        <w:tc>
          <w:tcPr>
            <w:tcW w:w="3016" w:type="dxa"/>
            <w:shd w:val="clear" w:color="auto" w:fill="auto"/>
            <w:vAlign w:val="center"/>
          </w:tcPr>
          <w:p w14:paraId="6F6FD9B8">
            <w:pPr>
              <w:rPr>
                <w:color w:val="000000" w:themeColor="text1"/>
                <w:kern w:val="0"/>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31006C18">
            <w:pPr>
              <w:rPr>
                <w:strike/>
                <w:color w:val="000000" w:themeColor="text1"/>
                <w:highlight w:val="yellow"/>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0.02 mm</w:t>
            </w:r>
          </w:p>
        </w:tc>
        <w:tc>
          <w:tcPr>
            <w:tcW w:w="1086" w:type="dxa"/>
            <w:shd w:val="clear" w:color="auto" w:fill="auto"/>
            <w:vAlign w:val="center"/>
          </w:tcPr>
          <w:p w14:paraId="783F9F1F">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25EA79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0EBBF8AE">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6</w:t>
            </w:r>
          </w:p>
        </w:tc>
        <w:tc>
          <w:tcPr>
            <w:tcW w:w="3060" w:type="dxa"/>
            <w:shd w:val="clear" w:color="auto" w:fill="auto"/>
            <w:vAlign w:val="center"/>
          </w:tcPr>
          <w:p w14:paraId="5C3FD29F">
            <w:pPr>
              <w:rPr>
                <w:rFonts w:asciiTheme="minorEastAsia" w:hAnsiTheme="minorEastAsia" w:eastAsiaTheme="minorEastAsia" w:cstheme="minorEastAsia"/>
                <w:color w:val="000000" w:themeColor="text1"/>
                <w14:textFill>
                  <w14:solidFill>
                    <w14:schemeClr w14:val="tx1"/>
                  </w14:solidFill>
                </w14:textFill>
              </w:rPr>
            </w:pPr>
            <w:r>
              <w:rPr>
                <w:rFonts w:hint="eastAsia"/>
                <w:szCs w:val="21"/>
              </w:rPr>
              <w:t>钢卷尺</w:t>
            </w:r>
          </w:p>
        </w:tc>
        <w:tc>
          <w:tcPr>
            <w:tcW w:w="3016" w:type="dxa"/>
            <w:shd w:val="clear" w:color="auto" w:fill="auto"/>
            <w:vAlign w:val="center"/>
          </w:tcPr>
          <w:p w14:paraId="17800C6F">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2669BCAB">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 mm</w:t>
            </w:r>
          </w:p>
        </w:tc>
        <w:tc>
          <w:tcPr>
            <w:tcW w:w="1086" w:type="dxa"/>
            <w:shd w:val="clear" w:color="auto" w:fill="auto"/>
            <w:vAlign w:val="center"/>
          </w:tcPr>
          <w:p w14:paraId="4177A464">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47176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2F564A02">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7</w:t>
            </w:r>
          </w:p>
        </w:tc>
        <w:tc>
          <w:tcPr>
            <w:tcW w:w="3060" w:type="dxa"/>
            <w:shd w:val="clear" w:color="auto" w:fill="auto"/>
            <w:vAlign w:val="center"/>
          </w:tcPr>
          <w:p w14:paraId="1C61EE91">
            <w:pPr>
              <w:rPr>
                <w:color w:val="000000" w:themeColor="text1"/>
                <w14:textFill>
                  <w14:solidFill>
                    <w14:schemeClr w14:val="tx1"/>
                  </w14:solidFill>
                </w14:textFill>
              </w:rPr>
            </w:pPr>
            <w:r>
              <w:rPr>
                <w:rFonts w:hint="eastAsia"/>
                <w:szCs w:val="21"/>
              </w:rPr>
              <w:t>金相显微镜</w:t>
            </w:r>
          </w:p>
        </w:tc>
        <w:tc>
          <w:tcPr>
            <w:tcW w:w="3016" w:type="dxa"/>
            <w:shd w:val="clear" w:color="auto" w:fill="auto"/>
            <w:vAlign w:val="center"/>
          </w:tcPr>
          <w:p w14:paraId="740A0139">
            <w:pPr>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3EDDCBA9">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5DDAF838">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r w14:paraId="3F982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2" w:type="dxa"/>
            <w:shd w:val="clear" w:color="auto" w:fill="auto"/>
            <w:vAlign w:val="center"/>
          </w:tcPr>
          <w:p w14:paraId="7FE6827C">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8</w:t>
            </w:r>
          </w:p>
        </w:tc>
        <w:tc>
          <w:tcPr>
            <w:tcW w:w="3060" w:type="dxa"/>
            <w:shd w:val="clear" w:color="auto" w:fill="auto"/>
            <w:vAlign w:val="center"/>
          </w:tcPr>
          <w:p w14:paraId="4928D937">
            <w:pPr>
              <w:rPr>
                <w:color w:val="000000" w:themeColor="text1"/>
                <w14:textFill>
                  <w14:solidFill>
                    <w14:schemeClr w14:val="tx1"/>
                  </w14:solidFill>
                </w14:textFill>
              </w:rPr>
            </w:pPr>
            <w:r>
              <w:rPr>
                <w:rFonts w:hint="eastAsia"/>
                <w:szCs w:val="21"/>
              </w:rPr>
              <w:t>直流双臂电桥</w:t>
            </w:r>
          </w:p>
        </w:tc>
        <w:tc>
          <w:tcPr>
            <w:tcW w:w="3016" w:type="dxa"/>
            <w:shd w:val="clear" w:color="auto" w:fill="auto"/>
            <w:vAlign w:val="center"/>
          </w:tcPr>
          <w:p w14:paraId="3F21EAB9">
            <w:pPr>
              <w:ind w:leftChars="-51" w:right="-92" w:rightChars="-51" w:hanging="91" w:hangingChars="51"/>
              <w:rPr>
                <w:color w:val="000000" w:themeColor="text1"/>
                <w14:textFill>
                  <w14:solidFill>
                    <w14:schemeClr w14:val="tx1"/>
                  </w14:solidFill>
                </w14:textFill>
              </w:rPr>
            </w:pPr>
            <w:r>
              <w:rPr>
                <w:rFonts w:hint="eastAsia"/>
                <w:color w:val="000000" w:themeColor="text1"/>
                <w14:textFill>
                  <w14:solidFill>
                    <w14:schemeClr w14:val="tx1"/>
                  </w14:solidFill>
                </w14:textFill>
              </w:rPr>
              <w:t>满足标准检验要求</w:t>
            </w:r>
          </w:p>
        </w:tc>
        <w:tc>
          <w:tcPr>
            <w:tcW w:w="1737" w:type="dxa"/>
            <w:shd w:val="clear" w:color="auto" w:fill="auto"/>
            <w:vAlign w:val="center"/>
          </w:tcPr>
          <w:p w14:paraId="13368996">
            <w:pPr>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c>
          <w:tcPr>
            <w:tcW w:w="1086" w:type="dxa"/>
            <w:shd w:val="clear" w:color="auto" w:fill="auto"/>
            <w:vAlign w:val="center"/>
          </w:tcPr>
          <w:p w14:paraId="2E48F2D2">
            <w:pPr>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p>
        </w:tc>
      </w:tr>
    </w:tbl>
    <w:p w14:paraId="16EDFB97">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使用现场的检测仪器仪表及设备</w:t>
      </w:r>
    </w:p>
    <w:p w14:paraId="42D981C2">
      <w:pPr>
        <w:pStyle w:val="31"/>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使用现场的检测仪器仪表及设备前，应检查其是否处于正常的工作状态，是否具有计量检定/校准证书，满足规定要求方可使用。</w:t>
      </w:r>
    </w:p>
    <w:p w14:paraId="2D53C845">
      <w:pPr>
        <w:pStyle w:val="53"/>
        <w:rPr>
          <w:color w:val="000000" w:themeColor="text1"/>
          <w14:textFill>
            <w14:solidFill>
              <w14:schemeClr w14:val="tx1"/>
            </w14:solidFill>
          </w14:textFill>
        </w:rPr>
      </w:pPr>
      <w:bookmarkStart w:id="159" w:name="_Toc27742"/>
      <w:r>
        <w:rPr>
          <w:rFonts w:hint="eastAsia"/>
          <w:color w:val="000000" w:themeColor="text1"/>
          <w14:textFill>
            <w14:solidFill>
              <w14:schemeClr w14:val="tx1"/>
            </w14:solidFill>
          </w14:textFill>
        </w:rPr>
        <w:t>检验内容及检验方法</w:t>
      </w:r>
      <w:bookmarkEnd w:id="159"/>
    </w:p>
    <w:p w14:paraId="0236BBEA">
      <w:pPr>
        <w:pStyle w:val="54"/>
        <w:rPr>
          <w:color w:val="000000" w:themeColor="text1"/>
          <w14:textFill>
            <w14:solidFill>
              <w14:schemeClr w14:val="tx1"/>
            </w14:solidFill>
          </w14:textFill>
        </w:rPr>
      </w:pPr>
      <w:r>
        <w:t>行政许可、产品认证</w:t>
      </w:r>
      <w:r>
        <w:rPr>
          <w:rFonts w:hint="eastAsia" w:ascii="宋体" w:hAnsi="宋体" w:eastAsia="宋体"/>
        </w:rPr>
        <w:t>（初次</w:t>
      </w:r>
      <w:r>
        <w:rPr>
          <w:rFonts w:ascii="宋体" w:hAnsi="宋体" w:eastAsia="宋体"/>
        </w:rPr>
        <w:t>/复评）检测</w:t>
      </w:r>
      <w:r>
        <w:t>等需要验证产品与标准的符合性时，按型式检验项目检验。监督抽查可在重要性能项目中选取检验项目或按照特定的监督抽查要求选取检验项目。产品认证的日常监督检测按监督检测项目进行</w:t>
      </w:r>
      <w:r>
        <w:rPr>
          <w:rFonts w:hint="eastAsia"/>
        </w:rPr>
        <w:t>。</w:t>
      </w:r>
      <w:r>
        <w:rPr>
          <w:rFonts w:hint="eastAsia"/>
          <w:color w:val="000000" w:themeColor="text1"/>
          <w14:textFill>
            <w14:solidFill>
              <w14:schemeClr w14:val="tx1"/>
            </w14:solidFill>
          </w14:textFill>
        </w:rPr>
        <w:t>检验内容、检验方法、执行标准条款应符合表</w:t>
      </w:r>
      <w:r>
        <w:rPr>
          <w:rFonts w:ascii="Times New Roman" w:hAnsi="Times New Roman"/>
          <w:color w:val="000000" w:themeColor="text1"/>
          <w14:textFill>
            <w14:solidFill>
              <w14:schemeClr w14:val="tx1"/>
            </w14:solidFill>
          </w14:textFill>
        </w:rPr>
        <w:t>6</w:t>
      </w:r>
      <w:r>
        <w:rPr>
          <w:rFonts w:hint="eastAsia"/>
          <w:color w:val="000000" w:themeColor="text1"/>
          <w14:textFill>
            <w14:solidFill>
              <w14:schemeClr w14:val="tx1"/>
            </w14:solidFill>
          </w14:textFill>
        </w:rPr>
        <w:t>的要求</w:t>
      </w:r>
      <w:r>
        <w:rPr>
          <w:color w:val="000000" w:themeColor="text1"/>
          <w14:textFill>
            <w14:solidFill>
              <w14:schemeClr w14:val="tx1"/>
            </w14:solidFill>
          </w14:textFill>
        </w:rPr>
        <w:t>。</w:t>
      </w:r>
    </w:p>
    <w:p w14:paraId="08D3A002">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w:t>
      </w:r>
      <w:r>
        <w:rPr>
          <w:rFonts w:ascii="黑体" w:hAnsi="黑体" w:eastAsia="黑体" w:cs="黑体"/>
          <w:color w:val="000000" w:themeColor="text1"/>
          <w14:textFill>
            <w14:solidFill>
              <w14:schemeClr w14:val="tx1"/>
            </w14:solidFill>
          </w14:textFill>
        </w:rPr>
        <w:t>6</w:t>
      </w:r>
      <w:r>
        <w:rPr>
          <w:rFonts w:hint="eastAsia" w:ascii="黑体" w:hAnsi="黑体" w:eastAsia="黑体" w:cs="黑体"/>
          <w:color w:val="000000" w:themeColor="text1"/>
          <w14:textFill>
            <w14:solidFill>
              <w14:schemeClr w14:val="tx1"/>
            </w14:solidFill>
          </w14:textFill>
        </w:rPr>
        <w:t xml:space="preserve">  检验内容、要求及方法</w:t>
      </w:r>
    </w:p>
    <w:tbl>
      <w:tblPr>
        <w:tblStyle w:val="25"/>
        <w:tblW w:w="942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1"/>
        <w:gridCol w:w="881"/>
        <w:gridCol w:w="1275"/>
        <w:gridCol w:w="2134"/>
        <w:gridCol w:w="1874"/>
        <w:gridCol w:w="683"/>
        <w:gridCol w:w="800"/>
        <w:gridCol w:w="700"/>
        <w:gridCol w:w="648"/>
      </w:tblGrid>
      <w:tr w14:paraId="34ABA3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431" w:type="dxa"/>
            <w:tcBorders>
              <w:bottom w:val="single" w:color="auto" w:sz="8" w:space="0"/>
              <w:tl2br w:val="nil"/>
              <w:tr2bl w:val="nil"/>
            </w:tcBorders>
            <w:vAlign w:val="center"/>
          </w:tcPr>
          <w:p w14:paraId="39AE0F5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序号</w:t>
            </w:r>
          </w:p>
        </w:tc>
        <w:tc>
          <w:tcPr>
            <w:tcW w:w="2156" w:type="dxa"/>
            <w:gridSpan w:val="2"/>
            <w:tcBorders>
              <w:bottom w:val="single" w:color="auto" w:sz="8" w:space="0"/>
              <w:tl2br w:val="nil"/>
              <w:tr2bl w:val="nil"/>
            </w:tcBorders>
            <w:vAlign w:val="center"/>
          </w:tcPr>
          <w:p w14:paraId="658F90A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检验项目</w:t>
            </w:r>
          </w:p>
        </w:tc>
        <w:tc>
          <w:tcPr>
            <w:tcW w:w="2134" w:type="dxa"/>
            <w:tcBorders>
              <w:bottom w:val="single" w:color="auto" w:sz="8" w:space="0"/>
              <w:tl2br w:val="nil"/>
              <w:tr2bl w:val="nil"/>
            </w:tcBorders>
            <w:shd w:val="clear" w:color="auto" w:fill="auto"/>
            <w:vAlign w:val="center"/>
          </w:tcPr>
          <w:p w14:paraId="4FAD449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技术要求</w:t>
            </w:r>
          </w:p>
        </w:tc>
        <w:tc>
          <w:tcPr>
            <w:tcW w:w="1874" w:type="dxa"/>
            <w:tcBorders>
              <w:bottom w:val="single" w:color="auto" w:sz="8" w:space="0"/>
              <w:tl2br w:val="nil"/>
              <w:tr2bl w:val="nil"/>
            </w:tcBorders>
            <w:shd w:val="clear" w:color="auto" w:fill="auto"/>
            <w:vAlign w:val="center"/>
          </w:tcPr>
          <w:p w14:paraId="452D1A3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检验方法</w:t>
            </w:r>
          </w:p>
        </w:tc>
        <w:tc>
          <w:tcPr>
            <w:tcW w:w="683" w:type="dxa"/>
            <w:tcBorders>
              <w:bottom w:val="single" w:color="auto" w:sz="8" w:space="0"/>
              <w:tl2br w:val="nil"/>
              <w:tr2bl w:val="nil"/>
            </w:tcBorders>
            <w:shd w:val="clear" w:color="auto" w:fill="auto"/>
            <w:vAlign w:val="center"/>
          </w:tcPr>
          <w:p w14:paraId="6E5477A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型式</w:t>
            </w:r>
          </w:p>
          <w:p w14:paraId="397EB47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w:t>
            </w:r>
          </w:p>
        </w:tc>
        <w:tc>
          <w:tcPr>
            <w:tcW w:w="800" w:type="dxa"/>
            <w:tcBorders>
              <w:bottom w:val="single" w:color="auto" w:sz="8" w:space="0"/>
              <w:tl2br w:val="nil"/>
              <w:tr2bl w:val="nil"/>
            </w:tcBorders>
            <w:vAlign w:val="center"/>
          </w:tcPr>
          <w:p w14:paraId="4CDEADB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重要性</w:t>
            </w:r>
          </w:p>
          <w:p w14:paraId="15BB604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能项目</w:t>
            </w:r>
          </w:p>
        </w:tc>
        <w:tc>
          <w:tcPr>
            <w:tcW w:w="700" w:type="dxa"/>
            <w:tcBorders>
              <w:bottom w:val="single" w:color="auto" w:sz="8" w:space="0"/>
              <w:tl2br w:val="nil"/>
              <w:tr2bl w:val="nil"/>
            </w:tcBorders>
            <w:shd w:val="clear" w:color="auto" w:fill="auto"/>
            <w:vAlign w:val="center"/>
          </w:tcPr>
          <w:p w14:paraId="50698E5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监督</w:t>
            </w:r>
          </w:p>
          <w:p w14:paraId="7C864D7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检测</w:t>
            </w:r>
          </w:p>
        </w:tc>
        <w:tc>
          <w:tcPr>
            <w:tcW w:w="648" w:type="dxa"/>
            <w:tcBorders>
              <w:bottom w:val="single" w:color="auto" w:sz="8" w:space="0"/>
              <w:tl2br w:val="nil"/>
              <w:tr2bl w:val="nil"/>
            </w:tcBorders>
            <w:vAlign w:val="center"/>
          </w:tcPr>
          <w:p w14:paraId="4756880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现场</w:t>
            </w:r>
          </w:p>
          <w:p w14:paraId="5DAC43A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检查</w:t>
            </w:r>
          </w:p>
        </w:tc>
      </w:tr>
      <w:tr w14:paraId="4DC86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1" w:type="dxa"/>
            <w:tcBorders>
              <w:top w:val="single" w:color="auto" w:sz="8" w:space="0"/>
            </w:tcBorders>
            <w:shd w:val="clear" w:color="auto" w:fill="auto"/>
            <w:vAlign w:val="center"/>
          </w:tcPr>
          <w:p w14:paraId="37B2E70F">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w:t>
            </w:r>
          </w:p>
        </w:tc>
        <w:tc>
          <w:tcPr>
            <w:tcW w:w="881" w:type="dxa"/>
            <w:vMerge w:val="restart"/>
            <w:tcBorders>
              <w:top w:val="single" w:color="auto" w:sz="8" w:space="0"/>
            </w:tcBorders>
            <w:shd w:val="clear" w:color="auto" w:fill="auto"/>
            <w:vAlign w:val="center"/>
          </w:tcPr>
          <w:p w14:paraId="3B580650">
            <w:pPr>
              <w:snapToGrid w:val="0"/>
              <w:rPr>
                <w:rFonts w:cs="宋体"/>
                <w:bCs/>
                <w:color w:val="000000" w:themeColor="text1"/>
                <w14:textFill>
                  <w14:solidFill>
                    <w14:schemeClr w14:val="tx1"/>
                  </w14:solidFill>
                </w14:textFill>
              </w:rPr>
            </w:pPr>
            <w:r>
              <w:rPr>
                <w:rFonts w:cs="宋体"/>
                <w:bCs/>
                <w:color w:val="000000" w:themeColor="text1"/>
                <w14:textFill>
                  <w14:solidFill>
                    <w14:schemeClr w14:val="tx1"/>
                  </w14:solidFill>
                </w14:textFill>
              </w:rPr>
              <w:t>结构</w:t>
            </w:r>
          </w:p>
          <w:p w14:paraId="655701AA">
            <w:pPr>
              <w:snapToGrid w:val="0"/>
              <w:rPr>
                <w:rFonts w:cs="宋体"/>
                <w:bCs/>
                <w:color w:val="000000" w:themeColor="text1"/>
                <w14:textFill>
                  <w14:solidFill>
                    <w14:schemeClr w14:val="tx1"/>
                  </w14:solidFill>
                </w14:textFill>
              </w:rPr>
            </w:pPr>
            <w:r>
              <w:rPr>
                <w:rFonts w:cs="宋体"/>
                <w:bCs/>
                <w:color w:val="000000" w:themeColor="text1"/>
                <w14:textFill>
                  <w14:solidFill>
                    <w14:schemeClr w14:val="tx1"/>
                  </w14:solidFill>
                </w14:textFill>
              </w:rPr>
              <w:t>尺寸</w:t>
            </w:r>
          </w:p>
        </w:tc>
        <w:tc>
          <w:tcPr>
            <w:tcW w:w="1275" w:type="dxa"/>
            <w:tcBorders>
              <w:top w:val="single" w:color="auto" w:sz="8" w:space="0"/>
            </w:tcBorders>
            <w:shd w:val="clear" w:color="auto" w:fill="auto"/>
            <w:vAlign w:val="center"/>
          </w:tcPr>
          <w:p w14:paraId="29BE8A5C">
            <w:pPr>
              <w:snapToGrid w:val="0"/>
              <w:rPr>
                <w:rFonts w:cs="宋体"/>
                <w:bCs/>
                <w:color w:val="000000" w:themeColor="text1"/>
                <w14:textFill>
                  <w14:solidFill>
                    <w14:schemeClr w14:val="tx1"/>
                  </w14:solidFill>
                </w14:textFill>
              </w:rPr>
            </w:pPr>
            <w:r>
              <w:rPr>
                <w:rFonts w:cs="宋体"/>
                <w:bCs/>
                <w:color w:val="000000" w:themeColor="text1"/>
                <w14:textFill>
                  <w14:solidFill>
                    <w14:schemeClr w14:val="tx1"/>
                  </w14:solidFill>
                </w14:textFill>
              </w:rPr>
              <w:t>外护套厚度</w:t>
            </w:r>
          </w:p>
        </w:tc>
        <w:tc>
          <w:tcPr>
            <w:tcW w:w="2134" w:type="dxa"/>
            <w:tcBorders>
              <w:top w:val="single" w:color="auto" w:sz="8" w:space="0"/>
            </w:tcBorders>
            <w:shd w:val="clear" w:color="auto" w:fill="auto"/>
            <w:vAlign w:val="center"/>
          </w:tcPr>
          <w:p w14:paraId="55E7C11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36E712C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第5.3.2条</w:t>
            </w:r>
          </w:p>
        </w:tc>
        <w:tc>
          <w:tcPr>
            <w:tcW w:w="1874" w:type="dxa"/>
            <w:tcBorders>
              <w:top w:val="single" w:color="auto" w:sz="8" w:space="0"/>
            </w:tcBorders>
            <w:shd w:val="clear" w:color="auto" w:fill="auto"/>
            <w:vAlign w:val="center"/>
          </w:tcPr>
          <w:p w14:paraId="59C929F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155B233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第6.2.4条</w:t>
            </w:r>
          </w:p>
        </w:tc>
        <w:tc>
          <w:tcPr>
            <w:tcW w:w="683" w:type="dxa"/>
            <w:tcBorders>
              <w:top w:val="single" w:color="auto" w:sz="8" w:space="0"/>
            </w:tcBorders>
            <w:shd w:val="clear" w:color="auto" w:fill="auto"/>
            <w:vAlign w:val="center"/>
          </w:tcPr>
          <w:p w14:paraId="64621FC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tcBorders>
              <w:top w:val="single" w:color="auto" w:sz="8" w:space="0"/>
            </w:tcBorders>
            <w:shd w:val="clear" w:color="auto" w:fill="auto"/>
            <w:vAlign w:val="center"/>
          </w:tcPr>
          <w:p w14:paraId="236A4E1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tcBorders>
              <w:top w:val="single" w:color="auto" w:sz="8" w:space="0"/>
            </w:tcBorders>
            <w:shd w:val="clear" w:color="auto" w:fill="auto"/>
            <w:vAlign w:val="center"/>
          </w:tcPr>
          <w:p w14:paraId="4041B92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tcBorders>
              <w:top w:val="single" w:color="auto" w:sz="8" w:space="0"/>
            </w:tcBorders>
            <w:shd w:val="clear" w:color="auto" w:fill="auto"/>
            <w:vAlign w:val="center"/>
          </w:tcPr>
          <w:p w14:paraId="34697C0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3C470E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1" w:type="dxa"/>
            <w:shd w:val="clear" w:color="auto" w:fill="auto"/>
            <w:vAlign w:val="center"/>
          </w:tcPr>
          <w:p w14:paraId="1C511FF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p>
        </w:tc>
        <w:tc>
          <w:tcPr>
            <w:tcW w:w="881" w:type="dxa"/>
            <w:vMerge w:val="continue"/>
            <w:shd w:val="clear" w:color="auto" w:fill="auto"/>
            <w:vAlign w:val="center"/>
          </w:tcPr>
          <w:p w14:paraId="2FD40644">
            <w:pPr>
              <w:rPr>
                <w:rFonts w:cs="宋体"/>
                <w:color w:val="000000" w:themeColor="text1"/>
                <w14:textFill>
                  <w14:solidFill>
                    <w14:schemeClr w14:val="tx1"/>
                  </w14:solidFill>
                </w14:textFill>
              </w:rPr>
            </w:pPr>
          </w:p>
        </w:tc>
        <w:tc>
          <w:tcPr>
            <w:tcW w:w="1275" w:type="dxa"/>
            <w:shd w:val="clear" w:color="auto" w:fill="auto"/>
            <w:vAlign w:val="center"/>
          </w:tcPr>
          <w:p w14:paraId="74011EC4">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贯通地线最大外径</w:t>
            </w:r>
          </w:p>
        </w:tc>
        <w:tc>
          <w:tcPr>
            <w:tcW w:w="2134" w:type="dxa"/>
            <w:shd w:val="clear" w:color="auto" w:fill="auto"/>
            <w:vAlign w:val="center"/>
          </w:tcPr>
          <w:p w14:paraId="6A062AA7">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099F46C7">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第5.4条</w:t>
            </w:r>
          </w:p>
        </w:tc>
        <w:tc>
          <w:tcPr>
            <w:tcW w:w="1874" w:type="dxa"/>
            <w:shd w:val="clear" w:color="auto" w:fill="auto"/>
            <w:vAlign w:val="center"/>
          </w:tcPr>
          <w:p w14:paraId="3E6AE84E">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265ED207">
            <w:pPr>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第6.3条</w:t>
            </w:r>
          </w:p>
        </w:tc>
        <w:tc>
          <w:tcPr>
            <w:tcW w:w="683" w:type="dxa"/>
            <w:shd w:val="clear" w:color="auto" w:fill="auto"/>
            <w:vAlign w:val="center"/>
          </w:tcPr>
          <w:p w14:paraId="1EAC1A4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4B78F76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7AB8DE1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212C51B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20CC28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1" w:type="dxa"/>
            <w:shd w:val="clear" w:color="auto" w:fill="auto"/>
            <w:vAlign w:val="center"/>
          </w:tcPr>
          <w:p w14:paraId="0D147E3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w:t>
            </w:r>
          </w:p>
        </w:tc>
        <w:tc>
          <w:tcPr>
            <w:tcW w:w="881" w:type="dxa"/>
            <w:vMerge w:val="continue"/>
            <w:shd w:val="clear" w:color="auto" w:fill="auto"/>
            <w:vAlign w:val="center"/>
          </w:tcPr>
          <w:p w14:paraId="663A5E24">
            <w:pPr>
              <w:rPr>
                <w:rFonts w:cs="宋体"/>
                <w:color w:val="000000" w:themeColor="text1"/>
                <w:kern w:val="0"/>
                <w14:textFill>
                  <w14:solidFill>
                    <w14:schemeClr w14:val="tx1"/>
                  </w14:solidFill>
                </w14:textFill>
              </w:rPr>
            </w:pPr>
          </w:p>
        </w:tc>
        <w:tc>
          <w:tcPr>
            <w:tcW w:w="1275" w:type="dxa"/>
            <w:tcBorders>
              <w:bottom w:val="single" w:color="auto" w:sz="4" w:space="0"/>
            </w:tcBorders>
            <w:shd w:val="clear" w:color="auto" w:fill="auto"/>
            <w:vAlign w:val="center"/>
          </w:tcPr>
          <w:p w14:paraId="683A6F54">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贯通地线长度</w:t>
            </w:r>
          </w:p>
        </w:tc>
        <w:tc>
          <w:tcPr>
            <w:tcW w:w="2134" w:type="dxa"/>
            <w:shd w:val="clear" w:color="auto" w:fill="auto"/>
            <w:vAlign w:val="center"/>
          </w:tcPr>
          <w:p w14:paraId="24CDEB12">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0ABFC731">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第5.8.2条</w:t>
            </w:r>
          </w:p>
        </w:tc>
        <w:tc>
          <w:tcPr>
            <w:tcW w:w="1874" w:type="dxa"/>
            <w:shd w:val="clear" w:color="auto" w:fill="auto"/>
            <w:vAlign w:val="center"/>
          </w:tcPr>
          <w:p w14:paraId="7A49585F">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6AD02FD7">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第6.7条</w:t>
            </w:r>
          </w:p>
        </w:tc>
        <w:tc>
          <w:tcPr>
            <w:tcW w:w="683" w:type="dxa"/>
            <w:shd w:val="clear" w:color="auto" w:fill="auto"/>
            <w:vAlign w:val="center"/>
          </w:tcPr>
          <w:p w14:paraId="4FC84AB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51E6E87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27191A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9ED546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BFE69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1" w:type="dxa"/>
            <w:shd w:val="clear" w:color="auto" w:fill="auto"/>
            <w:vAlign w:val="center"/>
          </w:tcPr>
          <w:p w14:paraId="53387142">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w:t>
            </w:r>
          </w:p>
        </w:tc>
        <w:tc>
          <w:tcPr>
            <w:tcW w:w="881" w:type="dxa"/>
            <w:vMerge w:val="restart"/>
            <w:shd w:val="clear" w:color="auto" w:fill="auto"/>
            <w:vAlign w:val="center"/>
          </w:tcPr>
          <w:p w14:paraId="375DD4A2">
            <w:pPr>
              <w:snapToGrid w:val="0"/>
              <w:rPr>
                <w:rFonts w:cs="宋体"/>
                <w:color w:val="000000" w:themeColor="text1"/>
                <w:kern w:val="0"/>
                <w14:textFill>
                  <w14:solidFill>
                    <w14:schemeClr w14:val="tx1"/>
                  </w14:solidFill>
                </w14:textFill>
              </w:rPr>
            </w:pPr>
            <w:r>
              <w:rPr>
                <w:rFonts w:cs="宋体"/>
                <w:color w:val="000000" w:themeColor="text1"/>
                <w:kern w:val="0"/>
                <w14:textFill>
                  <w14:solidFill>
                    <w14:schemeClr w14:val="tx1"/>
                  </w14:solidFill>
                </w14:textFill>
              </w:rPr>
              <w:t>外观、外护套一致性及金相组织</w:t>
            </w:r>
          </w:p>
        </w:tc>
        <w:tc>
          <w:tcPr>
            <w:tcW w:w="1275" w:type="dxa"/>
            <w:tcBorders>
              <w:top w:val="single" w:color="auto" w:sz="4" w:space="0"/>
            </w:tcBorders>
            <w:shd w:val="clear" w:color="auto" w:fill="auto"/>
            <w:vAlign w:val="center"/>
          </w:tcPr>
          <w:p w14:paraId="25B314A8">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外观</w:t>
            </w:r>
          </w:p>
        </w:tc>
        <w:tc>
          <w:tcPr>
            <w:tcW w:w="2134" w:type="dxa"/>
            <w:shd w:val="clear" w:color="auto" w:fill="auto"/>
            <w:vAlign w:val="center"/>
          </w:tcPr>
          <w:p w14:paraId="622C47A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57C5843E">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第5.3.1条</w:t>
            </w:r>
          </w:p>
        </w:tc>
        <w:tc>
          <w:tcPr>
            <w:tcW w:w="1874" w:type="dxa"/>
            <w:shd w:val="clear" w:color="auto" w:fill="auto"/>
            <w:vAlign w:val="center"/>
          </w:tcPr>
          <w:p w14:paraId="4F6F2FAA">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7784713C">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第6.2.1条</w:t>
            </w:r>
          </w:p>
        </w:tc>
        <w:tc>
          <w:tcPr>
            <w:tcW w:w="683" w:type="dxa"/>
            <w:shd w:val="clear" w:color="auto" w:fill="auto"/>
            <w:vAlign w:val="center"/>
          </w:tcPr>
          <w:p w14:paraId="2EF8FAE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20BDCC7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C5A416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1D8B170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39344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1" w:type="dxa"/>
            <w:shd w:val="clear" w:color="auto" w:fill="auto"/>
            <w:vAlign w:val="center"/>
          </w:tcPr>
          <w:p w14:paraId="6A1CF31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5</w:t>
            </w:r>
          </w:p>
        </w:tc>
        <w:tc>
          <w:tcPr>
            <w:tcW w:w="881" w:type="dxa"/>
            <w:vMerge w:val="continue"/>
            <w:shd w:val="clear" w:color="auto" w:fill="auto"/>
            <w:vAlign w:val="center"/>
          </w:tcPr>
          <w:p w14:paraId="73A7BA1C">
            <w:pPr>
              <w:rPr>
                <w:rFonts w:cs="宋体"/>
                <w:color w:val="000000" w:themeColor="text1"/>
                <w:kern w:val="0"/>
                <w14:textFill>
                  <w14:solidFill>
                    <w14:schemeClr w14:val="tx1"/>
                  </w14:solidFill>
                </w14:textFill>
              </w:rPr>
            </w:pPr>
          </w:p>
        </w:tc>
        <w:tc>
          <w:tcPr>
            <w:tcW w:w="1275" w:type="dxa"/>
            <w:shd w:val="clear" w:color="auto" w:fill="auto"/>
            <w:vAlign w:val="center"/>
          </w:tcPr>
          <w:p w14:paraId="049BB9D0">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外护套一致性</w:t>
            </w:r>
          </w:p>
        </w:tc>
        <w:tc>
          <w:tcPr>
            <w:tcW w:w="2134" w:type="dxa"/>
            <w:shd w:val="clear" w:color="auto" w:fill="auto"/>
            <w:vAlign w:val="center"/>
          </w:tcPr>
          <w:p w14:paraId="65341AE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1AFA0969">
            <w:pPr>
              <w:adjustRightInd w:val="0"/>
              <w:snapToGrid w:val="0"/>
              <w:ind w:left="-180" w:leftChars="-100" w:right="-180" w:rightChars="-10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第5.3.1条</w:t>
            </w:r>
          </w:p>
        </w:tc>
        <w:tc>
          <w:tcPr>
            <w:tcW w:w="1874" w:type="dxa"/>
            <w:shd w:val="clear" w:color="auto" w:fill="auto"/>
            <w:vAlign w:val="center"/>
          </w:tcPr>
          <w:p w14:paraId="0547B8A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2B84427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第6.2.2条</w:t>
            </w:r>
          </w:p>
        </w:tc>
        <w:tc>
          <w:tcPr>
            <w:tcW w:w="683" w:type="dxa"/>
            <w:shd w:val="clear" w:color="auto" w:fill="auto"/>
            <w:vAlign w:val="center"/>
          </w:tcPr>
          <w:p w14:paraId="0BF616D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7AD5E5A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7AD82B6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52070D3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6F2DE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1" w:type="dxa"/>
            <w:shd w:val="clear" w:color="auto" w:fill="auto"/>
            <w:vAlign w:val="center"/>
          </w:tcPr>
          <w:p w14:paraId="73A6D30E">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6</w:t>
            </w:r>
          </w:p>
        </w:tc>
        <w:tc>
          <w:tcPr>
            <w:tcW w:w="881" w:type="dxa"/>
            <w:vMerge w:val="continue"/>
            <w:shd w:val="clear" w:color="auto" w:fill="auto"/>
            <w:vAlign w:val="center"/>
          </w:tcPr>
          <w:p w14:paraId="61FBB798">
            <w:pPr>
              <w:rPr>
                <w:rFonts w:cs="宋体"/>
                <w:color w:val="000000" w:themeColor="text1"/>
                <w:kern w:val="0"/>
                <w14:textFill>
                  <w14:solidFill>
                    <w14:schemeClr w14:val="tx1"/>
                  </w14:solidFill>
                </w14:textFill>
              </w:rPr>
            </w:pPr>
          </w:p>
        </w:tc>
        <w:tc>
          <w:tcPr>
            <w:tcW w:w="1275" w:type="dxa"/>
            <w:shd w:val="clear" w:color="auto" w:fill="auto"/>
            <w:vAlign w:val="center"/>
          </w:tcPr>
          <w:p w14:paraId="10BF37A2">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金相组织检查</w:t>
            </w:r>
          </w:p>
        </w:tc>
        <w:tc>
          <w:tcPr>
            <w:tcW w:w="2134" w:type="dxa"/>
            <w:shd w:val="clear" w:color="auto" w:fill="auto"/>
            <w:vAlign w:val="center"/>
          </w:tcPr>
          <w:p w14:paraId="12C60D8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5301DF6A">
            <w:pPr>
              <w:adjustRightInd w:val="0"/>
              <w:snapToGrid w:val="0"/>
              <w:ind w:left="-90" w:leftChars="-50" w:right="-90" w:rightChars="-50"/>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第5.3.1条</w:t>
            </w:r>
          </w:p>
        </w:tc>
        <w:tc>
          <w:tcPr>
            <w:tcW w:w="1874" w:type="dxa"/>
            <w:shd w:val="clear" w:color="auto" w:fill="auto"/>
            <w:vAlign w:val="center"/>
          </w:tcPr>
          <w:p w14:paraId="09E4CA84">
            <w:pPr>
              <w:adjustRightInd w:val="0"/>
              <w:snapToGrid w:val="0"/>
              <w:ind w:left="-180" w:leftChars="-100" w:right="-180" w:rightChars="-1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2939D7BC">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第6.2.3条</w:t>
            </w:r>
          </w:p>
        </w:tc>
        <w:tc>
          <w:tcPr>
            <w:tcW w:w="683" w:type="dxa"/>
            <w:shd w:val="clear" w:color="auto" w:fill="auto"/>
            <w:vAlign w:val="center"/>
          </w:tcPr>
          <w:p w14:paraId="2B16207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shd w:val="clear" w:color="auto" w:fill="auto"/>
            <w:vAlign w:val="center"/>
          </w:tcPr>
          <w:p w14:paraId="0AE82E8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84EAF5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DA9677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73C87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1" w:type="dxa"/>
            <w:shd w:val="clear" w:color="auto" w:fill="auto"/>
            <w:vAlign w:val="center"/>
          </w:tcPr>
          <w:p w14:paraId="517E4684">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7</w:t>
            </w:r>
          </w:p>
        </w:tc>
        <w:tc>
          <w:tcPr>
            <w:tcW w:w="881" w:type="dxa"/>
            <w:vMerge w:val="restart"/>
            <w:shd w:val="clear" w:color="auto" w:fill="auto"/>
            <w:vAlign w:val="center"/>
          </w:tcPr>
          <w:p w14:paraId="746416C2">
            <w:pPr>
              <w:snapToGrid w:val="0"/>
              <w:ind w:left="-90" w:leftChars="-50" w:right="-90" w:rightChars="-5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外护套性能</w:t>
            </w:r>
          </w:p>
        </w:tc>
        <w:tc>
          <w:tcPr>
            <w:tcW w:w="1275" w:type="dxa"/>
            <w:shd w:val="clear" w:color="auto" w:fill="auto"/>
            <w:vAlign w:val="center"/>
          </w:tcPr>
          <w:p w14:paraId="6A984C2B">
            <w:pPr>
              <w:snapToGrid w:val="0"/>
              <w:ind w:left="-90" w:leftChars="-50" w:right="-90" w:rightChars="-5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外护套环保性能</w:t>
            </w:r>
          </w:p>
        </w:tc>
        <w:tc>
          <w:tcPr>
            <w:tcW w:w="2134" w:type="dxa"/>
            <w:shd w:val="clear" w:color="auto" w:fill="auto"/>
            <w:vAlign w:val="center"/>
          </w:tcPr>
          <w:p w14:paraId="3ECA0464">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67174A2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第5.3.3条</w:t>
            </w:r>
          </w:p>
        </w:tc>
        <w:tc>
          <w:tcPr>
            <w:tcW w:w="1874" w:type="dxa"/>
            <w:shd w:val="clear" w:color="auto" w:fill="auto"/>
            <w:vAlign w:val="center"/>
          </w:tcPr>
          <w:p w14:paraId="0385254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25F487A3">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第6.2.5条</w:t>
            </w:r>
          </w:p>
        </w:tc>
        <w:tc>
          <w:tcPr>
            <w:tcW w:w="683" w:type="dxa"/>
            <w:shd w:val="clear" w:color="auto" w:fill="auto"/>
            <w:vAlign w:val="center"/>
          </w:tcPr>
          <w:p w14:paraId="3104467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0C0F28CF">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C9D32D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5B3367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707D7F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1" w:type="dxa"/>
            <w:shd w:val="clear" w:color="auto" w:fill="auto"/>
            <w:vAlign w:val="center"/>
          </w:tcPr>
          <w:p w14:paraId="6837B177">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8</w:t>
            </w:r>
          </w:p>
        </w:tc>
        <w:tc>
          <w:tcPr>
            <w:tcW w:w="881" w:type="dxa"/>
            <w:vMerge w:val="continue"/>
            <w:shd w:val="clear" w:color="auto" w:fill="auto"/>
            <w:vAlign w:val="center"/>
          </w:tcPr>
          <w:p w14:paraId="3BA013BF">
            <w:pPr>
              <w:snapToGrid w:val="0"/>
              <w:rPr>
                <w:rFonts w:cs="宋体"/>
                <w:color w:val="000000" w:themeColor="text1"/>
                <w14:textFill>
                  <w14:solidFill>
                    <w14:schemeClr w14:val="tx1"/>
                  </w14:solidFill>
                </w14:textFill>
              </w:rPr>
            </w:pPr>
          </w:p>
        </w:tc>
        <w:tc>
          <w:tcPr>
            <w:tcW w:w="1275" w:type="dxa"/>
            <w:shd w:val="clear" w:color="auto" w:fill="auto"/>
            <w:vAlign w:val="center"/>
          </w:tcPr>
          <w:p w14:paraId="1DE392F0">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外护套耐腐蚀试验</w:t>
            </w:r>
          </w:p>
        </w:tc>
        <w:tc>
          <w:tcPr>
            <w:tcW w:w="2134" w:type="dxa"/>
            <w:shd w:val="clear" w:color="auto" w:fill="auto"/>
            <w:vAlign w:val="center"/>
          </w:tcPr>
          <w:p w14:paraId="07226759">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4DE3767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第5.3.4条</w:t>
            </w:r>
          </w:p>
        </w:tc>
        <w:tc>
          <w:tcPr>
            <w:tcW w:w="1874" w:type="dxa"/>
            <w:shd w:val="clear" w:color="auto" w:fill="auto"/>
            <w:vAlign w:val="center"/>
          </w:tcPr>
          <w:p w14:paraId="2A443807">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16263000">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第6.2.6条</w:t>
            </w:r>
          </w:p>
        </w:tc>
        <w:tc>
          <w:tcPr>
            <w:tcW w:w="683" w:type="dxa"/>
            <w:shd w:val="clear" w:color="auto" w:fill="auto"/>
            <w:vAlign w:val="center"/>
          </w:tcPr>
          <w:p w14:paraId="520C201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363876D0">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2F32DC9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D4523D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4CDF25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1" w:type="dxa"/>
            <w:shd w:val="clear" w:color="auto" w:fill="auto"/>
            <w:vAlign w:val="center"/>
          </w:tcPr>
          <w:p w14:paraId="1998A22A">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9</w:t>
            </w:r>
          </w:p>
        </w:tc>
        <w:tc>
          <w:tcPr>
            <w:tcW w:w="881" w:type="dxa"/>
            <w:vMerge w:val="continue"/>
            <w:shd w:val="clear" w:color="auto" w:fill="auto"/>
            <w:vAlign w:val="center"/>
          </w:tcPr>
          <w:p w14:paraId="0F91D84A">
            <w:pPr>
              <w:snapToGrid w:val="0"/>
              <w:rPr>
                <w:rFonts w:cs="宋体"/>
                <w:color w:val="000000" w:themeColor="text1"/>
                <w14:textFill>
                  <w14:solidFill>
                    <w14:schemeClr w14:val="tx1"/>
                  </w14:solidFill>
                </w14:textFill>
              </w:rPr>
            </w:pPr>
          </w:p>
        </w:tc>
        <w:tc>
          <w:tcPr>
            <w:tcW w:w="1275" w:type="dxa"/>
            <w:shd w:val="clear" w:color="auto" w:fill="auto"/>
            <w:vAlign w:val="center"/>
          </w:tcPr>
          <w:p w14:paraId="2CF09434">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外护套的扩口试验</w:t>
            </w:r>
          </w:p>
        </w:tc>
        <w:tc>
          <w:tcPr>
            <w:tcW w:w="2134" w:type="dxa"/>
            <w:shd w:val="clear" w:color="auto" w:fill="auto"/>
            <w:vAlign w:val="center"/>
          </w:tcPr>
          <w:p w14:paraId="692336B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06F8092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第5.3.5条</w:t>
            </w:r>
          </w:p>
        </w:tc>
        <w:tc>
          <w:tcPr>
            <w:tcW w:w="1874" w:type="dxa"/>
            <w:shd w:val="clear" w:color="auto" w:fill="auto"/>
            <w:vAlign w:val="center"/>
          </w:tcPr>
          <w:p w14:paraId="7483760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7254D7F7">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第6.2.7条</w:t>
            </w:r>
          </w:p>
        </w:tc>
        <w:tc>
          <w:tcPr>
            <w:tcW w:w="683" w:type="dxa"/>
            <w:shd w:val="clear" w:color="auto" w:fill="auto"/>
            <w:vAlign w:val="center"/>
          </w:tcPr>
          <w:p w14:paraId="3BEE19B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385C51A0">
            <w:pPr>
              <w:rPr>
                <w:rFonts w:cs="宋体"/>
                <w:bCs/>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48B4350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46409F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D65F6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1" w:type="dxa"/>
            <w:shd w:val="clear" w:color="auto" w:fill="auto"/>
            <w:vAlign w:val="center"/>
          </w:tcPr>
          <w:p w14:paraId="61EDEE15">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10</w:t>
            </w:r>
          </w:p>
        </w:tc>
        <w:tc>
          <w:tcPr>
            <w:tcW w:w="881" w:type="dxa"/>
            <w:shd w:val="clear" w:color="auto" w:fill="auto"/>
            <w:vAlign w:val="center"/>
          </w:tcPr>
          <w:p w14:paraId="7FD39516">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贯通地线电气性能</w:t>
            </w:r>
          </w:p>
        </w:tc>
        <w:tc>
          <w:tcPr>
            <w:tcW w:w="1275" w:type="dxa"/>
            <w:shd w:val="clear" w:color="auto" w:fill="auto"/>
            <w:vAlign w:val="center"/>
          </w:tcPr>
          <w:p w14:paraId="730B57B0">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整体直流电阻</w:t>
            </w:r>
          </w:p>
        </w:tc>
        <w:tc>
          <w:tcPr>
            <w:tcW w:w="2134" w:type="dxa"/>
            <w:shd w:val="clear" w:color="auto" w:fill="auto"/>
            <w:vAlign w:val="center"/>
          </w:tcPr>
          <w:p w14:paraId="1DAF3383">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152FEDF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第5.5条</w:t>
            </w:r>
          </w:p>
        </w:tc>
        <w:tc>
          <w:tcPr>
            <w:tcW w:w="1874" w:type="dxa"/>
            <w:shd w:val="clear" w:color="auto" w:fill="auto"/>
            <w:vAlign w:val="center"/>
          </w:tcPr>
          <w:p w14:paraId="7B34353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6AC87C95">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第6.4条</w:t>
            </w:r>
          </w:p>
        </w:tc>
        <w:tc>
          <w:tcPr>
            <w:tcW w:w="683" w:type="dxa"/>
            <w:shd w:val="clear" w:color="auto" w:fill="auto"/>
            <w:vAlign w:val="center"/>
          </w:tcPr>
          <w:p w14:paraId="2860634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14CC8983">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05C4125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4E00BD2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CD686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1" w:type="dxa"/>
            <w:shd w:val="clear" w:color="auto" w:fill="auto"/>
            <w:vAlign w:val="center"/>
          </w:tcPr>
          <w:p w14:paraId="4012946D">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11</w:t>
            </w:r>
          </w:p>
        </w:tc>
        <w:tc>
          <w:tcPr>
            <w:tcW w:w="881" w:type="dxa"/>
            <w:vMerge w:val="restart"/>
            <w:shd w:val="clear" w:color="auto" w:fill="auto"/>
            <w:vAlign w:val="center"/>
          </w:tcPr>
          <w:p w14:paraId="23D4F4CA">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贯通地线机械物理性能</w:t>
            </w:r>
          </w:p>
        </w:tc>
        <w:tc>
          <w:tcPr>
            <w:tcW w:w="1275" w:type="dxa"/>
            <w:shd w:val="clear" w:color="auto" w:fill="auto"/>
            <w:vAlign w:val="center"/>
          </w:tcPr>
          <w:p w14:paraId="3BBF9F08">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拉断力</w:t>
            </w:r>
          </w:p>
        </w:tc>
        <w:tc>
          <w:tcPr>
            <w:tcW w:w="2134" w:type="dxa"/>
            <w:shd w:val="clear" w:color="auto" w:fill="auto"/>
            <w:vAlign w:val="center"/>
          </w:tcPr>
          <w:p w14:paraId="7DCB8AF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4144D1D8">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第5.6条</w:t>
            </w:r>
          </w:p>
        </w:tc>
        <w:tc>
          <w:tcPr>
            <w:tcW w:w="1874" w:type="dxa"/>
            <w:shd w:val="clear" w:color="auto" w:fill="auto"/>
            <w:vAlign w:val="center"/>
          </w:tcPr>
          <w:p w14:paraId="0917BC1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08332071">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第6.5条</w:t>
            </w:r>
          </w:p>
        </w:tc>
        <w:tc>
          <w:tcPr>
            <w:tcW w:w="683" w:type="dxa"/>
            <w:shd w:val="clear" w:color="auto" w:fill="auto"/>
            <w:vAlign w:val="center"/>
          </w:tcPr>
          <w:p w14:paraId="2C7041C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6998480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120F50F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70A1DE3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4EB7B0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1" w:type="dxa"/>
            <w:shd w:val="clear" w:color="auto" w:fill="auto"/>
            <w:vAlign w:val="center"/>
          </w:tcPr>
          <w:p w14:paraId="4E9D4DE3">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12</w:t>
            </w:r>
          </w:p>
        </w:tc>
        <w:tc>
          <w:tcPr>
            <w:tcW w:w="881" w:type="dxa"/>
            <w:vMerge w:val="continue"/>
            <w:shd w:val="clear" w:color="auto" w:fill="auto"/>
            <w:vAlign w:val="center"/>
          </w:tcPr>
          <w:p w14:paraId="03C1E04D">
            <w:pPr>
              <w:snapToGrid w:val="0"/>
              <w:rPr>
                <w:rFonts w:cs="宋体"/>
                <w:color w:val="000000" w:themeColor="text1"/>
                <w14:textFill>
                  <w14:solidFill>
                    <w14:schemeClr w14:val="tx1"/>
                  </w14:solidFill>
                </w14:textFill>
              </w:rPr>
            </w:pPr>
          </w:p>
        </w:tc>
        <w:tc>
          <w:tcPr>
            <w:tcW w:w="1275" w:type="dxa"/>
            <w:shd w:val="clear" w:color="auto" w:fill="auto"/>
            <w:vAlign w:val="center"/>
          </w:tcPr>
          <w:p w14:paraId="3FC68D7D">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断裂伸长率</w:t>
            </w:r>
          </w:p>
        </w:tc>
        <w:tc>
          <w:tcPr>
            <w:tcW w:w="2134" w:type="dxa"/>
            <w:shd w:val="clear" w:color="auto" w:fill="auto"/>
            <w:vAlign w:val="center"/>
          </w:tcPr>
          <w:p w14:paraId="036346BE">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3F2ED1FF">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第5.6条</w:t>
            </w:r>
          </w:p>
        </w:tc>
        <w:tc>
          <w:tcPr>
            <w:tcW w:w="1874" w:type="dxa"/>
            <w:shd w:val="clear" w:color="auto" w:fill="auto"/>
            <w:vAlign w:val="center"/>
          </w:tcPr>
          <w:p w14:paraId="43904E6C">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023AF876">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第6.5条</w:t>
            </w:r>
          </w:p>
        </w:tc>
        <w:tc>
          <w:tcPr>
            <w:tcW w:w="683" w:type="dxa"/>
            <w:shd w:val="clear" w:color="auto" w:fill="auto"/>
            <w:vAlign w:val="center"/>
          </w:tcPr>
          <w:p w14:paraId="2B5A6BA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46E0ECF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DF0986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52136FD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r w14:paraId="0135F7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31" w:type="dxa"/>
            <w:shd w:val="clear" w:color="auto" w:fill="auto"/>
            <w:vAlign w:val="center"/>
          </w:tcPr>
          <w:p w14:paraId="19E89649">
            <w:pPr>
              <w:adjustRightInd w:val="0"/>
              <w:snapToGrid w:val="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13</w:t>
            </w:r>
          </w:p>
        </w:tc>
        <w:tc>
          <w:tcPr>
            <w:tcW w:w="2156" w:type="dxa"/>
            <w:gridSpan w:val="2"/>
            <w:shd w:val="clear" w:color="auto" w:fill="auto"/>
            <w:vAlign w:val="center"/>
          </w:tcPr>
          <w:p w14:paraId="709E5F8B">
            <w:pPr>
              <w:snapToGrid w:val="0"/>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弯曲性能</w:t>
            </w:r>
          </w:p>
        </w:tc>
        <w:tc>
          <w:tcPr>
            <w:tcW w:w="2134" w:type="dxa"/>
            <w:shd w:val="clear" w:color="auto" w:fill="auto"/>
            <w:vAlign w:val="center"/>
          </w:tcPr>
          <w:p w14:paraId="5230572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06C4492B">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第5.7条</w:t>
            </w:r>
          </w:p>
        </w:tc>
        <w:tc>
          <w:tcPr>
            <w:tcW w:w="1874" w:type="dxa"/>
            <w:shd w:val="clear" w:color="auto" w:fill="auto"/>
            <w:vAlign w:val="center"/>
          </w:tcPr>
          <w:p w14:paraId="702FC600">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TB/T 3479-2017</w:t>
            </w:r>
          </w:p>
          <w:p w14:paraId="333798DD">
            <w:pPr>
              <w:adjustRightInd w:val="0"/>
              <w:snapToGrid w:val="0"/>
              <w:ind w:left="-90" w:leftChars="-50" w:right="-90" w:rightChars="-5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第6.6条</w:t>
            </w:r>
          </w:p>
        </w:tc>
        <w:tc>
          <w:tcPr>
            <w:tcW w:w="683" w:type="dxa"/>
            <w:shd w:val="clear" w:color="auto" w:fill="auto"/>
            <w:vAlign w:val="center"/>
          </w:tcPr>
          <w:p w14:paraId="76F0307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800" w:type="dxa"/>
            <w:vAlign w:val="center"/>
          </w:tcPr>
          <w:p w14:paraId="77816CA6">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700" w:type="dxa"/>
            <w:shd w:val="clear" w:color="auto" w:fill="auto"/>
            <w:vAlign w:val="center"/>
          </w:tcPr>
          <w:p w14:paraId="3B32078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648" w:type="dxa"/>
            <w:shd w:val="clear" w:color="auto" w:fill="auto"/>
            <w:vAlign w:val="center"/>
          </w:tcPr>
          <w:p w14:paraId="09579D3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tbl>
    <w:p w14:paraId="27A2A830">
      <w:pPr>
        <w:pStyle w:val="54"/>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重要性能项目是指该项点检验不合格时，可导致产品出现预期功能缺失、性能严重下降，可能影响产品配合和行车安全，是产品检验过程中需要特别关注和控制的项点。</w:t>
      </w:r>
    </w:p>
    <w:p w14:paraId="261AF5AF">
      <w:pPr>
        <w:widowControl/>
        <w:numPr>
          <w:ilvl w:val="2"/>
          <w:numId w:val="1"/>
        </w:numPr>
        <w:spacing w:line="360" w:lineRule="exact"/>
        <w:jc w:val="both"/>
        <w:rPr>
          <w:color w:val="000000" w:themeColor="text1"/>
          <w14:textFill>
            <w14:solidFill>
              <w14:schemeClr w14:val="tx1"/>
            </w14:solidFill>
          </w14:textFill>
        </w:rPr>
      </w:pPr>
      <w:r>
        <w:rPr>
          <w:rFonts w:hint="eastAsia" w:cs="宋体"/>
          <w:color w:val="000000" w:themeColor="text1"/>
          <w:kern w:val="0"/>
          <w:sz w:val="21"/>
          <w:szCs w:val="21"/>
          <w14:textFill>
            <w14:solidFill>
              <w14:schemeClr w14:val="tx1"/>
            </w14:solidFill>
          </w14:textFill>
        </w:rPr>
        <w:t>监督检测是指验证产品持续符合标准要求的检测，一般在两次型式检验之间进行。</w:t>
      </w:r>
    </w:p>
    <w:p w14:paraId="734FEF8C">
      <w:pPr>
        <w:pStyle w:val="54"/>
        <w:widowControl w:val="0"/>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CA5B7CE">
      <w:pPr>
        <w:pStyle w:val="53"/>
        <w:rPr>
          <w:color w:val="000000" w:themeColor="text1"/>
          <w14:textFill>
            <w14:solidFill>
              <w14:schemeClr w14:val="tx1"/>
            </w14:solidFill>
          </w14:textFill>
        </w:rPr>
      </w:pPr>
      <w:bookmarkStart w:id="160" w:name="_Toc30249"/>
      <w:r>
        <w:rPr>
          <w:rFonts w:hint="eastAsia"/>
          <w:color w:val="000000" w:themeColor="text1"/>
          <w14:textFill>
            <w14:solidFill>
              <w14:schemeClr w14:val="tx1"/>
            </w14:solidFill>
          </w14:textFill>
        </w:rPr>
        <w:t>结果判定</w:t>
      </w:r>
      <w:bookmarkEnd w:id="160"/>
    </w:p>
    <w:p w14:paraId="5C89540B">
      <w:pPr>
        <w:widowControl/>
        <w:numPr>
          <w:ilvl w:val="2"/>
          <w:numId w:val="1"/>
        </w:numPr>
        <w:spacing w:line="360" w:lineRule="exact"/>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型式检验时，全部检验项目合格判定检验结论合格，否则为不合格。</w:t>
      </w:r>
    </w:p>
    <w:p w14:paraId="1B6A0DA7">
      <w:pPr>
        <w:widowControl/>
        <w:numPr>
          <w:ilvl w:val="2"/>
          <w:numId w:val="1"/>
        </w:numPr>
        <w:spacing w:line="360" w:lineRule="exact"/>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监督抽查时，检测项目优先从表</w:t>
      </w:r>
      <w:r>
        <w:rPr>
          <w:rFonts w:cs="宋体"/>
          <w:color w:val="000000" w:themeColor="text1"/>
          <w:kern w:val="0"/>
          <w:sz w:val="21"/>
          <w:szCs w:val="21"/>
          <w14:textFill>
            <w14:solidFill>
              <w14:schemeClr w14:val="tx1"/>
            </w14:solidFill>
          </w14:textFill>
        </w:rPr>
        <w:t>6</w:t>
      </w:r>
      <w:r>
        <w:rPr>
          <w:rFonts w:hint="eastAsia" w:cs="宋体"/>
          <w:color w:val="000000" w:themeColor="text1"/>
          <w:kern w:val="0"/>
          <w:sz w:val="21"/>
          <w:szCs w:val="21"/>
          <w14:textFill>
            <w14:solidFill>
              <w14:schemeClr w14:val="tx1"/>
            </w14:solidFill>
          </w14:textFill>
        </w:rPr>
        <w:t>中“重要性能项目”中选取；所检项目均合格，检验结论为合格，否则为不合格。</w:t>
      </w:r>
    </w:p>
    <w:p w14:paraId="4E9A8979">
      <w:pPr>
        <w:widowControl/>
        <w:numPr>
          <w:ilvl w:val="2"/>
          <w:numId w:val="1"/>
        </w:numPr>
        <w:spacing w:line="360" w:lineRule="exact"/>
        <w:ind w:left="-2" w:leftChars="-1"/>
        <w:jc w:val="both"/>
        <w:rPr>
          <w:rFonts w:cs="宋体"/>
          <w:color w:val="000000" w:themeColor="text1"/>
          <w:kern w:val="0"/>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监督检测时，所检项目均合格，检验结论为合格，否则为不合格。</w:t>
      </w:r>
    </w:p>
    <w:p w14:paraId="1998BD94">
      <w:pPr>
        <w:pStyle w:val="53"/>
        <w:rPr>
          <w:color w:val="000000" w:themeColor="text1"/>
          <w14:textFill>
            <w14:solidFill>
              <w14:schemeClr w14:val="tx1"/>
            </w14:solidFill>
          </w14:textFill>
        </w:rPr>
      </w:pPr>
      <w:bookmarkStart w:id="161" w:name="_Toc3408"/>
      <w:r>
        <w:rPr>
          <w:rFonts w:hint="eastAsia"/>
          <w:color w:val="000000" w:themeColor="text1"/>
          <w14:textFill>
            <w14:solidFill>
              <w14:schemeClr w14:val="tx1"/>
            </w14:solidFill>
          </w14:textFill>
        </w:rPr>
        <w:t>检验程序</w:t>
      </w:r>
      <w:bookmarkEnd w:id="161"/>
    </w:p>
    <w:p w14:paraId="13AD8958">
      <w:pPr>
        <w:pStyle w:val="54"/>
        <w:rPr>
          <w:rFonts w:ascii="黑体" w:hAnsi="黑体" w:eastAsia="黑体"/>
          <w:color w:val="000000" w:themeColor="text1"/>
          <w14:textFill>
            <w14:solidFill>
              <w14:schemeClr w14:val="tx1"/>
            </w14:solidFill>
          </w14:textFill>
        </w:rPr>
      </w:pPr>
      <w:bookmarkStart w:id="162" w:name="_Toc153543642"/>
      <w:r>
        <w:rPr>
          <w:rFonts w:hint="eastAsia" w:ascii="黑体" w:hAnsi="黑体" w:eastAsia="黑体"/>
          <w:color w:val="000000" w:themeColor="text1"/>
          <w14:textFill>
            <w14:solidFill>
              <w14:schemeClr w14:val="tx1"/>
            </w14:solidFill>
          </w14:textFill>
        </w:rPr>
        <w:t>检验前准备工作</w:t>
      </w:r>
    </w:p>
    <w:p w14:paraId="037ABFC0">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71AE6DE">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检验人员应按规定的检验方法和检验条件进行检验。产品检验的仪器设备应符合有关规定要求，并在计量检定/校准周期内正常运行。</w:t>
      </w:r>
    </w:p>
    <w:p w14:paraId="7E179C60">
      <w:pPr>
        <w:pStyle w:val="54"/>
        <w:numPr>
          <w:ilvl w:val="3"/>
          <w:numId w:val="1"/>
        </w:numPr>
        <w:tabs>
          <w:tab w:val="left" w:pos="0"/>
        </w:tabs>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检验人员如需要使用外部的计量器具或测量仪器，在使用前应查验其计量检定/校准证书，满足要求的计量器具或测量仪器方可使用。</w:t>
      </w:r>
    </w:p>
    <w:p w14:paraId="6AD704E3">
      <w:pPr>
        <w:pStyle w:val="54"/>
        <w:numPr>
          <w:ilvl w:val="3"/>
          <w:numId w:val="1"/>
        </w:numPr>
        <w:tabs>
          <w:tab w:val="left" w:pos="0"/>
        </w:tabs>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样品开始检验前应当经生产企业确认样品良好。</w:t>
      </w:r>
    </w:p>
    <w:p w14:paraId="460A6E9A">
      <w:pPr>
        <w:pStyle w:val="31"/>
        <w:rPr>
          <w:rFonts w:hint="eastAsia"/>
        </w:rPr>
      </w:pPr>
      <w:r>
        <w:rPr>
          <w:rFonts w:hint="eastAsia"/>
        </w:rPr>
        <w:t>检验机构收到样品后，应通过拍照或者录像的方式检查记录样品的外观、状态、封条有无破损以及其他可能对检验结论产生影响的情形，并核对样品与抽样文书的记录是否相符。</w:t>
      </w:r>
    </w:p>
    <w:p w14:paraId="5E054D1E">
      <w:pPr>
        <w:pStyle w:val="31"/>
      </w:pPr>
      <w:r>
        <w:rPr>
          <w:rFonts w:hint="eastAsia"/>
        </w:rPr>
        <w:t>对于抽样不规范的样品，检验机构应与抽样机构进行核实，经确认后拒绝接收并书面说明理由，同时向组织监督抽查的管理部门进行报告。</w:t>
      </w:r>
    </w:p>
    <w:p w14:paraId="55E3559A">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项目检验顺序</w:t>
      </w:r>
    </w:p>
    <w:p w14:paraId="0D57C665">
      <w:pPr>
        <w:pStyle w:val="54"/>
        <w:numPr>
          <w:ilvl w:val="3"/>
          <w:numId w:val="1"/>
        </w:numPr>
        <w:tabs>
          <w:tab w:val="left" w:pos="0"/>
        </w:tabs>
        <w:spacing w:before="0" w:after="0"/>
        <w:rPr>
          <w:color w:val="000000" w:themeColor="text1"/>
          <w14:textFill>
            <w14:solidFill>
              <w14:schemeClr w14:val="tx1"/>
            </w14:solidFill>
          </w14:textFill>
        </w:rPr>
      </w:pPr>
      <w:r>
        <w:rPr>
          <w:rFonts w:hint="eastAsia"/>
          <w:color w:val="000000" w:themeColor="text1"/>
          <w14:textFill>
            <w14:solidFill>
              <w14:schemeClr w14:val="tx1"/>
            </w14:solidFill>
          </w14:textFill>
        </w:rPr>
        <w:t>型式检验项目按下列顺序</w:t>
      </w:r>
      <w:r>
        <w:rPr>
          <w:rFonts w:hint="eastAsia" w:ascii="Times New Roman" w:eastAsia="宋体"/>
          <w:color w:val="000000" w:themeColor="text1"/>
          <w14:textFill>
            <w14:solidFill>
              <w14:schemeClr w14:val="tx1"/>
            </w14:solidFill>
          </w14:textFill>
        </w:rPr>
        <w:t>进行</w:t>
      </w:r>
      <w:r>
        <w:rPr>
          <w:rFonts w:hint="eastAsia"/>
          <w:color w:val="000000" w:themeColor="text1"/>
          <w14:textFill>
            <w14:solidFill>
              <w14:schemeClr w14:val="tx1"/>
            </w14:solidFill>
          </w14:textFill>
        </w:rPr>
        <w:t>：</w:t>
      </w:r>
    </w:p>
    <w:p w14:paraId="7B62D52C">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样品1（每种规格）：</w:t>
      </w:r>
      <w:bookmarkStart w:id="163" w:name="OLE_LINK3"/>
      <w:bookmarkStart w:id="164" w:name="OLE_LINK4"/>
      <w:r>
        <w:rPr>
          <w:rFonts w:hint="eastAsia"/>
          <w:color w:val="000000" w:themeColor="text1"/>
          <w14:textFill>
            <w14:solidFill>
              <w14:schemeClr w14:val="tx1"/>
            </w14:solidFill>
          </w14:textFill>
        </w:rPr>
        <w:t>外观→外护套一致性→贯通地线最大外径→贯通地线长度→外护套厚度→整体直流电阻→金相组织检查→外护套的扩口试验→拉断力、断裂伸长率→弯曲性能。</w:t>
      </w:r>
      <w:bookmarkEnd w:id="163"/>
      <w:bookmarkEnd w:id="164"/>
    </w:p>
    <w:p w14:paraId="43602262">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样品2（终端抽样）：外观→外护套一致性→贯通地线最大外径→贯通地线长度→外护套厚度→整体直流电阻→金相组织检查→外护套的扩口试验→拉断力、断裂伸长率→弯曲性能。</w:t>
      </w:r>
    </w:p>
    <w:p w14:paraId="21A2A0B7">
      <w:pPr>
        <w:pStyle w:val="31"/>
        <w:rPr>
          <w:color w:val="000000" w:themeColor="text1"/>
          <w14:textFill>
            <w14:solidFill>
              <w14:schemeClr w14:val="tx1"/>
            </w14:solidFill>
          </w14:textFill>
        </w:rPr>
      </w:pPr>
      <w:r>
        <w:rPr>
          <w:rFonts w:hint="eastAsia"/>
          <w:color w:val="000000" w:themeColor="text1"/>
          <w14:textFill>
            <w14:solidFill>
              <w14:schemeClr w14:val="tx1"/>
            </w14:solidFill>
          </w14:textFill>
        </w:rPr>
        <w:t>样品3（7.5米）：外护套环保性能→外护套耐腐蚀试验。</w:t>
      </w:r>
    </w:p>
    <w:p w14:paraId="0C7B0C51">
      <w:pPr>
        <w:pStyle w:val="54"/>
        <w:numPr>
          <w:ilvl w:val="3"/>
          <w:numId w:val="1"/>
        </w:numPr>
        <w:tabs>
          <w:tab w:val="left" w:pos="0"/>
        </w:tabs>
        <w:spacing w:before="0" w:after="0"/>
      </w:pPr>
      <w:bookmarkStart w:id="165" w:name="_Hlk184225332"/>
      <w:r>
        <w:rPr>
          <w:rFonts w:hint="eastAsia"/>
        </w:rPr>
        <w:t>监</w:t>
      </w:r>
      <w:bookmarkStart w:id="166" w:name="_Hlk184225352"/>
      <w:r>
        <w:rPr>
          <w:rFonts w:hint="eastAsia"/>
        </w:rPr>
        <w:t>督抽查、监督检测检验项目顺序参照型式检验中对应项目顺序进行</w:t>
      </w:r>
      <w:bookmarkEnd w:id="166"/>
      <w:r>
        <w:rPr>
          <w:rFonts w:hint="eastAsia"/>
        </w:rPr>
        <w:t>。</w:t>
      </w:r>
    </w:p>
    <w:bookmarkEnd w:id="162"/>
    <w:bookmarkEnd w:id="165"/>
    <w:p w14:paraId="49E0A283">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检验操作程序</w:t>
      </w:r>
    </w:p>
    <w:p w14:paraId="49C763AA">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检验操作严格按规范试验方法进行。试验周期较长的检验项目，应当保持对设定值的控制，并注意观察试件安装状况，必要时及时调整。</w:t>
      </w:r>
    </w:p>
    <w:p w14:paraId="01475611">
      <w:pPr>
        <w:pStyle w:val="54"/>
        <w:numPr>
          <w:ilvl w:val="3"/>
          <w:numId w:val="1"/>
        </w:numPr>
        <w:spacing w:before="0" w:after="0"/>
        <w:rPr>
          <w:rFonts w:ascii="Times New Roman"/>
        </w:rPr>
      </w:pPr>
      <w:r>
        <w:rPr>
          <w:rFonts w:hint="eastAsia" w:ascii="Times New Roman"/>
        </w:rPr>
        <w:t>检验过程中，发生停电或检验仪器设备故障等情况，导致测试条件不能满足要求的，待故障排除后，采用备用样品重新进行检测。</w:t>
      </w:r>
    </w:p>
    <w:p w14:paraId="28BD6D78">
      <w:pPr>
        <w:pStyle w:val="54"/>
        <w:numPr>
          <w:ilvl w:val="3"/>
          <w:numId w:val="1"/>
        </w:numPr>
        <w:tabs>
          <w:tab w:val="left" w:pos="0"/>
        </w:tabs>
        <w:spacing w:before="0" w:after="0"/>
        <w:rPr>
          <w:rFonts w:ascii="Times New Roman"/>
        </w:rPr>
      </w:pPr>
      <w:r>
        <w:rPr>
          <w:rFonts w:hint="eastAsia" w:ascii="Times New Roman"/>
        </w:rPr>
        <w:t>检验过程中遇有样品失效或检验仪器设备故障等情况致使检验无法进行时，应如实记录即时情况，并有充分的证实材料。</w:t>
      </w:r>
    </w:p>
    <w:p w14:paraId="061D5D47">
      <w:pPr>
        <w:pStyle w:val="54"/>
        <w:numPr>
          <w:ilvl w:val="3"/>
          <w:numId w:val="1"/>
        </w:numPr>
        <w:tabs>
          <w:tab w:val="left" w:pos="0"/>
        </w:tabs>
        <w:spacing w:before="0" w:after="0"/>
        <w:rPr>
          <w:rFonts w:ascii="Times New Roman"/>
        </w:rPr>
      </w:pPr>
      <w:r>
        <w:rPr>
          <w:rFonts w:hint="eastAsia" w:ascii="Times New Roman"/>
        </w:rPr>
        <w:t>检验过程中检验人员应如实填写检验原始记录，保证真实、准确、清晰，不得随意涂改，并妥善保留备查。检验过程中可采取拍照或录像等方式保存证据。</w:t>
      </w:r>
    </w:p>
    <w:p w14:paraId="2F90331D">
      <w:pPr>
        <w:pStyle w:val="54"/>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检验结束后的处理</w:t>
      </w:r>
    </w:p>
    <w:p w14:paraId="4A05B836">
      <w:pPr>
        <w:pStyle w:val="54"/>
        <w:numPr>
          <w:ilvl w:val="3"/>
          <w:numId w:val="1"/>
        </w:numPr>
        <w:spacing w:before="0" w:after="0"/>
        <w:jc w:val="both"/>
        <w:rPr>
          <w:rFonts w:ascii="Times New Roman"/>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检验结束后应对被检样品状况、仪器设备状态进行认真检查，并作好记录。</w:t>
      </w:r>
    </w:p>
    <w:p w14:paraId="5878DB8D">
      <w:pPr>
        <w:pStyle w:val="54"/>
        <w:numPr>
          <w:ilvl w:val="3"/>
          <w:numId w:val="1"/>
        </w:numPr>
        <w:spacing w:before="0" w:after="0"/>
        <w:jc w:val="both"/>
        <w:rPr>
          <w:rFonts w:ascii="Times New Roman" w:eastAsia="宋体"/>
          <w:color w:val="000000" w:themeColor="text1"/>
          <w14:textFill>
            <w14:solidFill>
              <w14:schemeClr w14:val="tx1"/>
            </w14:solidFill>
          </w14:textFill>
        </w:rPr>
      </w:pPr>
      <w:r>
        <w:rPr>
          <w:rFonts w:hint="eastAsia" w:ascii="Times New Roman" w:eastAsia="宋体"/>
          <w:color w:val="000000" w:themeColor="text1"/>
          <w14:textFill>
            <w14:solidFill>
              <w14:schemeClr w14:val="tx1"/>
            </w14:solidFill>
          </w14:textFill>
        </w:rPr>
        <w:t xml:space="preserve">检验后的样品，应标注样品“已检”状态标识。检验结果公布后退还生产企业。 </w:t>
      </w:r>
    </w:p>
    <w:p w14:paraId="2F8B8FFB">
      <w:pPr>
        <w:pStyle w:val="53"/>
        <w:rPr>
          <w:color w:val="000000" w:themeColor="text1"/>
          <w14:textFill>
            <w14:solidFill>
              <w14:schemeClr w14:val="tx1"/>
            </w14:solidFill>
          </w14:textFill>
        </w:rPr>
      </w:pPr>
      <w:bookmarkStart w:id="167" w:name="_Toc18997"/>
      <w:r>
        <w:rPr>
          <w:rFonts w:hint="eastAsia"/>
          <w:color w:val="000000" w:themeColor="text1"/>
          <w14:textFill>
            <w14:solidFill>
              <w14:schemeClr w14:val="tx1"/>
            </w14:solidFill>
          </w14:textFill>
        </w:rPr>
        <w:t>检验报告</w:t>
      </w:r>
      <w:bookmarkEnd w:id="167"/>
    </w:p>
    <w:p w14:paraId="181F6F45">
      <w:pPr>
        <w:pStyle w:val="54"/>
        <w:spacing w:before="0" w:after="0"/>
      </w:pPr>
      <w:bookmarkStart w:id="168" w:name="_Toc153543195"/>
      <w:bookmarkEnd w:id="168"/>
      <w:bookmarkStart w:id="169" w:name="_Toc153543194"/>
      <w:bookmarkEnd w:id="169"/>
      <w:bookmarkStart w:id="170" w:name="_Toc153543189"/>
      <w:bookmarkEnd w:id="170"/>
      <w:bookmarkStart w:id="171" w:name="_Toc153543193"/>
      <w:bookmarkEnd w:id="171"/>
      <w:bookmarkStart w:id="172" w:name="_Toc153543190"/>
      <w:bookmarkEnd w:id="172"/>
      <w:bookmarkStart w:id="173" w:name="_Toc153543191"/>
      <w:bookmarkEnd w:id="173"/>
      <w:bookmarkStart w:id="174" w:name="_Toc153543192"/>
      <w:bookmarkEnd w:id="174"/>
      <w:bookmarkStart w:id="175" w:name="_Toc153543188"/>
      <w:bookmarkEnd w:id="175"/>
      <w:r>
        <w:rPr>
          <w:rFonts w:hint="eastAsia" w:ascii="Times New Roman"/>
        </w:rPr>
        <w:t>检验报告应当注明生产企业名称、生产地址、依据标准，应进行单项和综合判定、明确检验结论。</w:t>
      </w:r>
    </w:p>
    <w:p w14:paraId="08FC70CD">
      <w:pPr>
        <w:pStyle w:val="54"/>
        <w:spacing w:before="0" w:after="0"/>
      </w:pPr>
      <w:r>
        <w:rPr>
          <w:rFonts w:hint="eastAsia"/>
        </w:rPr>
        <w:t>检验报告应注明样品来源（均为抽样）、检验类别（分为行政许可检测、监督抽查检测、认证检测等）、检验性质（分为新产品鉴定试验、型式检验、部分项目试验）。</w:t>
      </w:r>
    </w:p>
    <w:p w14:paraId="57802DEE">
      <w:pPr>
        <w:pStyle w:val="54"/>
        <w:spacing w:before="0" w:after="0"/>
      </w:pPr>
      <w:r>
        <w:rPr>
          <w:rFonts w:hint="eastAsia"/>
        </w:rPr>
        <w:t>检验报告应注明产品名称、型号、编号、生产日期、抽样日期以及其他必要的产品溯源信息。</w:t>
      </w:r>
    </w:p>
    <w:p w14:paraId="6B6EEBE9">
      <w:pPr>
        <w:pStyle w:val="54"/>
        <w:spacing w:before="0" w:after="0"/>
        <w:rPr>
          <w:rFonts w:ascii="Times New Roman"/>
        </w:rPr>
      </w:pPr>
      <w:r>
        <w:rPr>
          <w:rFonts w:hint="eastAsia" w:ascii="Times New Roman"/>
        </w:rPr>
        <w:t>各项检验记录的读数值与检验结果有效值截取的规定应符合表</w:t>
      </w:r>
      <w:r>
        <w:rPr>
          <w:rFonts w:ascii="Times New Roman"/>
        </w:rPr>
        <w:t>7</w:t>
      </w:r>
      <w:r>
        <w:rPr>
          <w:rFonts w:hint="eastAsia" w:ascii="Times New Roman"/>
        </w:rPr>
        <w:t>的要求。</w:t>
      </w:r>
    </w:p>
    <w:p w14:paraId="195D2B6E">
      <w:pPr>
        <w:pStyle w:val="31"/>
        <w:spacing w:before="156" w:beforeLines="50" w:after="156" w:afterLines="50"/>
        <w:ind w:firstLine="0" w:firstLineChars="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 xml:space="preserve">表 </w:t>
      </w:r>
      <w:r>
        <w:rPr>
          <w:rFonts w:ascii="黑体" w:hAnsi="黑体" w:eastAsia="黑体" w:cs="黑体"/>
          <w:color w:val="000000" w:themeColor="text1"/>
          <w14:textFill>
            <w14:solidFill>
              <w14:schemeClr w14:val="tx1"/>
            </w14:solidFill>
          </w14:textFill>
        </w:rPr>
        <w:t>7</w:t>
      </w:r>
      <w:r>
        <w:rPr>
          <w:rFonts w:hint="eastAsia" w:ascii="黑体" w:hAnsi="黑体" w:eastAsia="黑体" w:cs="黑体"/>
          <w:color w:val="000000" w:themeColor="text1"/>
          <w14:textFill>
            <w14:solidFill>
              <w14:schemeClr w14:val="tx1"/>
            </w14:solidFill>
          </w14:textFill>
        </w:rPr>
        <w:t xml:space="preserve">  检验记录的读数值与有效值</w:t>
      </w:r>
    </w:p>
    <w:tbl>
      <w:tblPr>
        <w:tblStyle w:val="25"/>
        <w:tblW w:w="9569"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90"/>
        <w:gridCol w:w="2917"/>
        <w:gridCol w:w="2225"/>
        <w:gridCol w:w="2242"/>
        <w:gridCol w:w="1395"/>
      </w:tblGrid>
      <w:tr w14:paraId="59E56A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5" w:hRule="atLeast"/>
          <w:tblHeader/>
          <w:jc w:val="center"/>
        </w:trPr>
        <w:tc>
          <w:tcPr>
            <w:tcW w:w="790" w:type="dxa"/>
            <w:vMerge w:val="restart"/>
            <w:tcBorders>
              <w:top w:val="single" w:color="auto" w:sz="8" w:space="0"/>
              <w:left w:val="single" w:color="auto" w:sz="8" w:space="0"/>
              <w:bottom w:val="single" w:color="auto" w:sz="4" w:space="0"/>
              <w:right w:val="single" w:color="auto" w:sz="4" w:space="0"/>
            </w:tcBorders>
            <w:vAlign w:val="center"/>
          </w:tcPr>
          <w:p w14:paraId="2657D016">
            <w:pPr>
              <w:rPr>
                <w:rFonts w:cs="宋体"/>
                <w:color w:val="000000" w:themeColor="text1"/>
                <w14:textFill>
                  <w14:solidFill>
                    <w14:schemeClr w14:val="tx1"/>
                  </w14:solidFill>
                </w14:textFill>
              </w:rPr>
            </w:pPr>
            <w:bookmarkStart w:id="176" w:name="_Hlk176160921"/>
            <w:r>
              <w:rPr>
                <w:rFonts w:hint="eastAsia" w:cs="宋体"/>
                <w:color w:val="000000" w:themeColor="text1"/>
                <w14:textFill>
                  <w14:solidFill>
                    <w14:schemeClr w14:val="tx1"/>
                  </w14:solidFill>
                </w14:textFill>
              </w:rPr>
              <w:t>序号</w:t>
            </w:r>
          </w:p>
        </w:tc>
        <w:tc>
          <w:tcPr>
            <w:tcW w:w="2917" w:type="dxa"/>
            <w:vMerge w:val="restart"/>
            <w:tcBorders>
              <w:top w:val="single" w:color="auto" w:sz="8" w:space="0"/>
              <w:left w:val="single" w:color="auto" w:sz="4" w:space="0"/>
              <w:bottom w:val="single" w:color="auto" w:sz="4" w:space="0"/>
              <w:right w:val="single" w:color="auto" w:sz="4" w:space="0"/>
            </w:tcBorders>
            <w:vAlign w:val="center"/>
          </w:tcPr>
          <w:p w14:paraId="11D6AD84">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检验项目</w:t>
            </w:r>
          </w:p>
        </w:tc>
        <w:tc>
          <w:tcPr>
            <w:tcW w:w="2225" w:type="dxa"/>
            <w:vMerge w:val="restart"/>
            <w:tcBorders>
              <w:top w:val="single" w:color="auto" w:sz="8" w:space="0"/>
              <w:left w:val="single" w:color="auto" w:sz="4" w:space="0"/>
              <w:bottom w:val="single" w:color="auto" w:sz="4" w:space="0"/>
              <w:right w:val="single" w:color="auto" w:sz="4" w:space="0"/>
            </w:tcBorders>
            <w:vAlign w:val="center"/>
          </w:tcPr>
          <w:p w14:paraId="73CB6C6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读数值位数</w:t>
            </w:r>
          </w:p>
        </w:tc>
        <w:tc>
          <w:tcPr>
            <w:tcW w:w="3637" w:type="dxa"/>
            <w:gridSpan w:val="2"/>
            <w:tcBorders>
              <w:top w:val="single" w:color="auto" w:sz="8" w:space="0"/>
              <w:left w:val="single" w:color="auto" w:sz="4" w:space="0"/>
              <w:bottom w:val="single" w:color="auto" w:sz="4" w:space="0"/>
              <w:right w:val="single" w:color="auto" w:sz="8" w:space="0"/>
            </w:tcBorders>
            <w:vAlign w:val="center"/>
          </w:tcPr>
          <w:p w14:paraId="5E0AA83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检验结果</w:t>
            </w:r>
          </w:p>
        </w:tc>
      </w:tr>
      <w:tr w14:paraId="66AE6D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5" w:hRule="atLeast"/>
          <w:tblHeader/>
          <w:jc w:val="center"/>
        </w:trPr>
        <w:tc>
          <w:tcPr>
            <w:tcW w:w="790" w:type="dxa"/>
            <w:vMerge w:val="continue"/>
            <w:tcBorders>
              <w:top w:val="single" w:color="auto" w:sz="4" w:space="0"/>
              <w:left w:val="single" w:color="auto" w:sz="8" w:space="0"/>
              <w:bottom w:val="single" w:color="auto" w:sz="8" w:space="0"/>
              <w:right w:val="single" w:color="auto" w:sz="4" w:space="0"/>
            </w:tcBorders>
            <w:vAlign w:val="center"/>
          </w:tcPr>
          <w:p w14:paraId="512FD260">
            <w:pPr>
              <w:rPr>
                <w:rFonts w:cs="宋体"/>
                <w:color w:val="000000" w:themeColor="text1"/>
                <w14:textFill>
                  <w14:solidFill>
                    <w14:schemeClr w14:val="tx1"/>
                  </w14:solidFill>
                </w14:textFill>
              </w:rPr>
            </w:pPr>
          </w:p>
        </w:tc>
        <w:tc>
          <w:tcPr>
            <w:tcW w:w="2917" w:type="dxa"/>
            <w:vMerge w:val="continue"/>
            <w:tcBorders>
              <w:top w:val="single" w:color="auto" w:sz="4" w:space="0"/>
              <w:left w:val="single" w:color="auto" w:sz="4" w:space="0"/>
              <w:bottom w:val="single" w:color="auto" w:sz="8" w:space="0"/>
              <w:right w:val="single" w:color="auto" w:sz="4" w:space="0"/>
            </w:tcBorders>
            <w:vAlign w:val="center"/>
          </w:tcPr>
          <w:p w14:paraId="32A6885D">
            <w:pPr>
              <w:rPr>
                <w:rFonts w:cs="宋体"/>
                <w:color w:val="000000" w:themeColor="text1"/>
                <w14:textFill>
                  <w14:solidFill>
                    <w14:schemeClr w14:val="tx1"/>
                  </w14:solidFill>
                </w14:textFill>
              </w:rPr>
            </w:pPr>
          </w:p>
        </w:tc>
        <w:tc>
          <w:tcPr>
            <w:tcW w:w="2225" w:type="dxa"/>
            <w:vMerge w:val="continue"/>
            <w:tcBorders>
              <w:top w:val="single" w:color="auto" w:sz="4" w:space="0"/>
              <w:left w:val="single" w:color="auto" w:sz="4" w:space="0"/>
              <w:bottom w:val="single" w:color="auto" w:sz="8" w:space="0"/>
              <w:right w:val="single" w:color="auto" w:sz="4" w:space="0"/>
            </w:tcBorders>
            <w:vAlign w:val="center"/>
          </w:tcPr>
          <w:p w14:paraId="39CA294F">
            <w:pPr>
              <w:rPr>
                <w:rFonts w:cs="宋体"/>
                <w:color w:val="000000" w:themeColor="text1"/>
                <w14:textFill>
                  <w14:solidFill>
                    <w14:schemeClr w14:val="tx1"/>
                  </w14:solidFill>
                </w14:textFill>
              </w:rPr>
            </w:pPr>
          </w:p>
        </w:tc>
        <w:tc>
          <w:tcPr>
            <w:tcW w:w="2242" w:type="dxa"/>
            <w:tcBorders>
              <w:top w:val="single" w:color="auto" w:sz="4" w:space="0"/>
              <w:left w:val="single" w:color="auto" w:sz="4" w:space="0"/>
              <w:bottom w:val="single" w:color="auto" w:sz="8" w:space="0"/>
              <w:right w:val="single" w:color="auto" w:sz="4" w:space="0"/>
            </w:tcBorders>
            <w:shd w:val="clear" w:color="auto" w:fill="auto"/>
            <w:vAlign w:val="center"/>
          </w:tcPr>
          <w:p w14:paraId="1B9F8728">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有效值位数</w:t>
            </w:r>
          </w:p>
        </w:tc>
        <w:tc>
          <w:tcPr>
            <w:tcW w:w="1395" w:type="dxa"/>
            <w:tcBorders>
              <w:top w:val="single" w:color="auto" w:sz="4" w:space="0"/>
              <w:left w:val="single" w:color="auto" w:sz="4" w:space="0"/>
              <w:bottom w:val="single" w:color="auto" w:sz="8" w:space="0"/>
              <w:right w:val="single" w:color="auto" w:sz="8" w:space="0"/>
            </w:tcBorders>
            <w:shd w:val="clear" w:color="auto" w:fill="auto"/>
            <w:vAlign w:val="center"/>
          </w:tcPr>
          <w:p w14:paraId="5210B9A2">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单位</w:t>
            </w:r>
          </w:p>
        </w:tc>
      </w:tr>
      <w:tr w14:paraId="60E1FE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6" w:hRule="atLeast"/>
          <w:jc w:val="center"/>
        </w:trPr>
        <w:tc>
          <w:tcPr>
            <w:tcW w:w="790" w:type="dxa"/>
            <w:tcBorders>
              <w:top w:val="single" w:color="auto" w:sz="8" w:space="0"/>
              <w:left w:val="single" w:color="auto" w:sz="8" w:space="0"/>
              <w:bottom w:val="single" w:color="auto" w:sz="4" w:space="0"/>
              <w:right w:val="single" w:color="auto" w:sz="4" w:space="0"/>
            </w:tcBorders>
            <w:vAlign w:val="center"/>
          </w:tcPr>
          <w:p w14:paraId="4CA0D05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w:t>
            </w:r>
          </w:p>
        </w:tc>
        <w:tc>
          <w:tcPr>
            <w:tcW w:w="2917" w:type="dxa"/>
            <w:tcBorders>
              <w:top w:val="single" w:color="auto" w:sz="8" w:space="0"/>
              <w:left w:val="single" w:color="auto" w:sz="4" w:space="0"/>
              <w:bottom w:val="single" w:color="auto" w:sz="4" w:space="0"/>
              <w:right w:val="single" w:color="auto" w:sz="4" w:space="0"/>
            </w:tcBorders>
            <w:shd w:val="clear" w:color="auto" w:fill="auto"/>
            <w:vAlign w:val="center"/>
          </w:tcPr>
          <w:p w14:paraId="50666384">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外护套厚度</w:t>
            </w:r>
          </w:p>
        </w:tc>
        <w:tc>
          <w:tcPr>
            <w:tcW w:w="2225" w:type="dxa"/>
            <w:tcBorders>
              <w:top w:val="single" w:color="auto" w:sz="8" w:space="0"/>
              <w:left w:val="single" w:color="auto" w:sz="4" w:space="0"/>
              <w:bottom w:val="single" w:color="auto" w:sz="4" w:space="0"/>
              <w:right w:val="single" w:color="auto" w:sz="4" w:space="0"/>
            </w:tcBorders>
            <w:shd w:val="clear" w:color="auto" w:fill="auto"/>
            <w:vAlign w:val="center"/>
          </w:tcPr>
          <w:p w14:paraId="03048FB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8" w:space="0"/>
              <w:left w:val="single" w:color="auto" w:sz="4" w:space="0"/>
              <w:right w:val="single" w:color="auto" w:sz="4" w:space="0"/>
            </w:tcBorders>
            <w:shd w:val="clear" w:color="auto" w:fill="auto"/>
            <w:vAlign w:val="center"/>
          </w:tcPr>
          <w:p w14:paraId="610AA51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8" w:space="0"/>
              <w:left w:val="single" w:color="auto" w:sz="4" w:space="0"/>
              <w:bottom w:val="single" w:color="auto" w:sz="4" w:space="0"/>
              <w:right w:val="single" w:color="auto" w:sz="8" w:space="0"/>
            </w:tcBorders>
            <w:shd w:val="clear" w:color="auto" w:fill="auto"/>
            <w:vAlign w:val="center"/>
          </w:tcPr>
          <w:p w14:paraId="706B567D">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mm</w:t>
            </w:r>
          </w:p>
        </w:tc>
      </w:tr>
      <w:tr w14:paraId="498EA0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6"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7D16198A">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p>
        </w:tc>
        <w:tc>
          <w:tcPr>
            <w:tcW w:w="2917" w:type="dxa"/>
            <w:tcBorders>
              <w:top w:val="single" w:color="auto" w:sz="4" w:space="0"/>
              <w:left w:val="single" w:color="auto" w:sz="4" w:space="0"/>
              <w:bottom w:val="single" w:color="auto" w:sz="4" w:space="0"/>
              <w:right w:val="single" w:color="auto" w:sz="4" w:space="0"/>
            </w:tcBorders>
            <w:shd w:val="clear" w:color="auto" w:fill="auto"/>
            <w:vAlign w:val="center"/>
          </w:tcPr>
          <w:p w14:paraId="53DEC475">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贯通地线最大外径</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2423AA2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right w:val="single" w:color="auto" w:sz="4" w:space="0"/>
            </w:tcBorders>
            <w:shd w:val="clear" w:color="auto" w:fill="auto"/>
            <w:vAlign w:val="center"/>
          </w:tcPr>
          <w:p w14:paraId="07425D81">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1809C31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mm</w:t>
            </w:r>
          </w:p>
        </w:tc>
      </w:tr>
      <w:tr w14:paraId="449756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6"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00236189">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w:t>
            </w:r>
          </w:p>
        </w:tc>
        <w:tc>
          <w:tcPr>
            <w:tcW w:w="2917" w:type="dxa"/>
            <w:tcBorders>
              <w:top w:val="single" w:color="auto" w:sz="4" w:space="0"/>
              <w:left w:val="single" w:color="auto" w:sz="4" w:space="0"/>
              <w:bottom w:val="single" w:color="auto" w:sz="4" w:space="0"/>
              <w:right w:val="single" w:color="auto" w:sz="4" w:space="0"/>
            </w:tcBorders>
            <w:shd w:val="clear" w:color="auto" w:fill="auto"/>
            <w:vAlign w:val="center"/>
          </w:tcPr>
          <w:p w14:paraId="68617DDD">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整体直流电阻</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7F2670DB">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00C48D87">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0F763336">
            <w:pPr>
              <w:rPr>
                <w:rFonts w:cs="宋体"/>
                <w:color w:val="000000" w:themeColor="text1"/>
                <w14:textFill>
                  <w14:solidFill>
                    <w14:schemeClr w14:val="tx1"/>
                  </w14:solidFill>
                </w14:textFill>
              </w:rPr>
            </w:pPr>
            <m:oMath>
              <m:r>
                <m:rPr>
                  <m:sty m:val="p"/>
                </m:rPr>
                <w:rPr>
                  <w:rFonts w:ascii="Cambria Math" w:hAnsi="Cambria Math" w:cs="宋体"/>
                  <w:color w:val="000000" w:themeColor="text1"/>
                  <w14:textFill>
                    <w14:solidFill>
                      <w14:schemeClr w14:val="tx1"/>
                    </w14:solidFill>
                  </w14:textFill>
                </w:rPr>
                <m:t>Ω</m:t>
              </m:r>
            </m:oMath>
            <w:r>
              <w:rPr>
                <w:rFonts w:hint="eastAsia" w:cs="宋体"/>
                <w:color w:val="000000" w:themeColor="text1"/>
                <w14:textFill>
                  <w14:solidFill>
                    <w14:schemeClr w14:val="tx1"/>
                  </w14:solidFill>
                </w14:textFill>
              </w:rPr>
              <w:t>/km</w:t>
            </w:r>
          </w:p>
        </w:tc>
      </w:tr>
      <w:tr w14:paraId="4E8260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6"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7CEA57B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w:t>
            </w:r>
          </w:p>
        </w:tc>
        <w:tc>
          <w:tcPr>
            <w:tcW w:w="2917" w:type="dxa"/>
            <w:tcBorders>
              <w:top w:val="single" w:color="auto" w:sz="4" w:space="0"/>
              <w:left w:val="single" w:color="auto" w:sz="4" w:space="0"/>
              <w:bottom w:val="single" w:color="auto" w:sz="4" w:space="0"/>
              <w:right w:val="single" w:color="auto" w:sz="4" w:space="0"/>
            </w:tcBorders>
            <w:shd w:val="clear" w:color="auto" w:fill="auto"/>
            <w:vAlign w:val="center"/>
          </w:tcPr>
          <w:p w14:paraId="45350504">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拉断力</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1E0E40FF">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23E0489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6E4E5792">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kN</w:t>
            </w:r>
          </w:p>
        </w:tc>
      </w:tr>
      <w:tr w14:paraId="0AECB0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6" w:hRule="atLeast"/>
          <w:jc w:val="center"/>
        </w:trPr>
        <w:tc>
          <w:tcPr>
            <w:tcW w:w="790" w:type="dxa"/>
            <w:tcBorders>
              <w:top w:val="single" w:color="auto" w:sz="4" w:space="0"/>
              <w:left w:val="single" w:color="auto" w:sz="8" w:space="0"/>
              <w:bottom w:val="single" w:color="auto" w:sz="4" w:space="0"/>
              <w:right w:val="single" w:color="auto" w:sz="4" w:space="0"/>
            </w:tcBorders>
            <w:vAlign w:val="center"/>
          </w:tcPr>
          <w:p w14:paraId="7AAF38B0">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5</w:t>
            </w:r>
          </w:p>
        </w:tc>
        <w:tc>
          <w:tcPr>
            <w:tcW w:w="2917" w:type="dxa"/>
            <w:tcBorders>
              <w:top w:val="single" w:color="auto" w:sz="4" w:space="0"/>
              <w:left w:val="single" w:color="auto" w:sz="4" w:space="0"/>
              <w:bottom w:val="single" w:color="auto" w:sz="4" w:space="0"/>
              <w:right w:val="single" w:color="auto" w:sz="4" w:space="0"/>
            </w:tcBorders>
            <w:shd w:val="clear" w:color="auto" w:fill="auto"/>
            <w:vAlign w:val="center"/>
          </w:tcPr>
          <w:p w14:paraId="2F1EC28E">
            <w:pPr>
              <w:rPr>
                <w:rFonts w:cs="宋体"/>
                <w:color w:val="000000" w:themeColor="text1"/>
                <w14:textFill>
                  <w14:solidFill>
                    <w14:schemeClr w14:val="tx1"/>
                  </w14:solidFill>
                </w14:textFill>
              </w:rPr>
            </w:pPr>
            <w:r>
              <w:rPr>
                <w:rFonts w:cs="宋体"/>
                <w:color w:val="000000" w:themeColor="text1"/>
                <w14:textFill>
                  <w14:solidFill>
                    <w14:schemeClr w14:val="tx1"/>
                  </w14:solidFill>
                </w14:textFill>
              </w:rPr>
              <w:t>断裂伸长率</w:t>
            </w:r>
          </w:p>
        </w:tc>
        <w:tc>
          <w:tcPr>
            <w:tcW w:w="2225" w:type="dxa"/>
            <w:tcBorders>
              <w:top w:val="single" w:color="auto" w:sz="4" w:space="0"/>
              <w:left w:val="single" w:color="auto" w:sz="4" w:space="0"/>
              <w:bottom w:val="single" w:color="auto" w:sz="4" w:space="0"/>
              <w:right w:val="single" w:color="auto" w:sz="4" w:space="0"/>
            </w:tcBorders>
            <w:shd w:val="clear" w:color="auto" w:fill="auto"/>
            <w:vAlign w:val="center"/>
          </w:tcPr>
          <w:p w14:paraId="4A1A9CEC">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2242" w:type="dxa"/>
            <w:tcBorders>
              <w:top w:val="single" w:color="auto" w:sz="4" w:space="0"/>
              <w:left w:val="single" w:color="auto" w:sz="4" w:space="0"/>
              <w:bottom w:val="single" w:color="auto" w:sz="4" w:space="0"/>
              <w:right w:val="single" w:color="auto" w:sz="4" w:space="0"/>
            </w:tcBorders>
            <w:shd w:val="clear" w:color="auto" w:fill="auto"/>
            <w:vAlign w:val="center"/>
          </w:tcPr>
          <w:p w14:paraId="7A02F3AE">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c>
          <w:tcPr>
            <w:tcW w:w="1395" w:type="dxa"/>
            <w:tcBorders>
              <w:top w:val="single" w:color="auto" w:sz="4" w:space="0"/>
              <w:left w:val="single" w:color="auto" w:sz="4" w:space="0"/>
              <w:bottom w:val="single" w:color="auto" w:sz="4" w:space="0"/>
              <w:right w:val="single" w:color="auto" w:sz="8" w:space="0"/>
            </w:tcBorders>
            <w:shd w:val="clear" w:color="auto" w:fill="auto"/>
            <w:vAlign w:val="center"/>
          </w:tcPr>
          <w:p w14:paraId="5E4B5445">
            <w:pPr>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w:t>
            </w:r>
          </w:p>
        </w:tc>
      </w:tr>
      <w:bookmarkEnd w:id="176"/>
    </w:tbl>
    <w:p w14:paraId="34988FA0">
      <w:pPr>
        <w:tabs>
          <w:tab w:val="center" w:pos="4677"/>
          <w:tab w:val="left" w:pos="7368"/>
        </w:tabs>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ab/>
      </w:r>
      <w:r>
        <w:rPr>
          <w:color w:val="000000" w:themeColor="text1"/>
          <w14:textFill>
            <w14:solidFill>
              <w14:schemeClr w14:val="tx1"/>
            </w14:solidFill>
          </w14:textFill>
        </w:rPr>
        <w:t>___________________</w:t>
      </w:r>
      <w:r>
        <w:rPr>
          <w:rFonts w:hint="eastAsia"/>
          <w:color w:val="000000" w:themeColor="text1"/>
          <w14:textFill>
            <w14:solidFill>
              <w14:schemeClr w14:val="tx1"/>
            </w14:solidFill>
          </w14:textFill>
        </w:rPr>
        <w:tab/>
      </w:r>
    </w:p>
    <w:p w14:paraId="5BCAAA7D">
      <w:pPr>
        <w:pStyle w:val="31"/>
        <w:spacing w:line="20" w:lineRule="exact"/>
        <w:ind w:firstLine="0" w:firstLineChars="0"/>
        <w:rPr>
          <w:color w:val="000000" w:themeColor="text1"/>
          <w14:textFill>
            <w14:solidFill>
              <w14:schemeClr w14:val="tx1"/>
            </w14:solidFill>
          </w14:textFill>
        </w:rPr>
      </w:pPr>
    </w:p>
    <w:p w14:paraId="08FB748D">
      <w:pPr>
        <w:pStyle w:val="31"/>
        <w:spacing w:line="20" w:lineRule="exact"/>
        <w:ind w:firstLine="0" w:firstLineChars="0"/>
        <w:rPr>
          <w:color w:val="000000" w:themeColor="text1"/>
          <w14:textFill>
            <w14:solidFill>
              <w14:schemeClr w14:val="tx1"/>
            </w14:solidFill>
          </w14:textFill>
        </w:rPr>
      </w:pPr>
    </w:p>
    <w:sectPr>
      <w:headerReference r:id="rId12" w:type="default"/>
      <w:footerReference r:id="rId14" w:type="default"/>
      <w:headerReference r:id="rId13" w:type="even"/>
      <w:footerReference r:id="rId15" w:type="even"/>
      <w:type w:val="oddPage"/>
      <w:pgSz w:w="11906" w:h="16838"/>
      <w:pgMar w:top="567" w:right="1134" w:bottom="1134" w:left="1417" w:header="1417" w:footer="1134"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Adobe Myungjo Std M"/>
    <w:panose1 w:val="02020609040205080304"/>
    <w:charset w:val="80"/>
    <w:family w:val="modern"/>
    <w:pitch w:val="default"/>
    <w:sig w:usb0="00000000" w:usb1="00000000" w:usb2="00000010" w:usb3="00000000" w:csb0="0002009F" w:csb1="00000000"/>
  </w:font>
  <w:font w:name="Adobe Myungjo Std M">
    <w:panose1 w:val="02020600000000000000"/>
    <w:charset w:val="80"/>
    <w:family w:val="auto"/>
    <w:pitch w:val="default"/>
    <w:sig w:usb0="00000001" w:usb1="21D72C10" w:usb2="00000010" w:usb3="00000000" w:csb0="602A0005"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9EC21">
    <w:pPr>
      <w:pStyle w:val="16"/>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0139512"/>
    </w:sdtPr>
    <w:sdtContent>
      <w:p w14:paraId="11B3A673">
        <w:pPr>
          <w:pStyle w:val="16"/>
        </w:pPr>
        <w:r>
          <w:fldChar w:fldCharType="begin"/>
        </w:r>
        <w:r>
          <w:instrText xml:space="preserve">PAGE   \* MERGEFORMAT</w:instrText>
        </w:r>
        <w:r>
          <w:fldChar w:fldCharType="separate"/>
        </w:r>
        <w:r>
          <w:rPr>
            <w:lang w:val="zh-CN"/>
          </w:rPr>
          <w:t>IV</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E3062">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7BDF2">
    <w:pPr>
      <w:jc w:val="left"/>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7EE60">
    <w:pPr>
      <w:pStyle w:val="1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02E1FA">
                          <w:pPr>
                            <w:pStyle w:val="1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C02E1FA">
                    <w:pPr>
                      <w:pStyle w:val="1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7E100">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5CB8B5">
                          <w:pPr>
                            <w:pStyle w:val="1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5F5CB8B5">
                    <w:pPr>
                      <w:pStyle w:val="1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393DF">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E4603">
    <w:pPr>
      <w:pStyle w:val="32"/>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D894D">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C0E64">
    <w:pPr>
      <w:pStyle w:val="32"/>
    </w:pPr>
    <w:r>
      <w:t>GTJ</w:t>
    </w:r>
    <w:r>
      <w:rPr>
        <w:rFonts w:hint="eastAsia"/>
      </w:rPr>
      <w:t xml:space="preserve">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AA8EE">
    <w:pPr>
      <w:pStyle w:val="17"/>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1BB29">
    <w:pPr>
      <w:pStyle w:val="32"/>
      <w:spacing w:after="200"/>
      <w:rPr>
        <w:rFonts w:hint="eastAsia" w:eastAsia="黑体"/>
        <w:lang w:eastAsia="zh-CN"/>
      </w:rPr>
    </w:pPr>
    <w:r>
      <w:t xml:space="preserve">GTJ </w:t>
    </w:r>
    <w:r>
      <w:rPr>
        <w:rFonts w:hint="eastAsia"/>
        <w:lang w:val="en-US" w:eastAsia="zh-CN"/>
      </w:rPr>
      <w:t>XX</w:t>
    </w:r>
    <w:r>
      <w:t>XX—</w:t>
    </w:r>
    <w:r>
      <w:rPr>
        <w:rFonts w:hint="eastAsia"/>
        <w:lang w:val="en-US" w:eastAsia="zh-CN"/>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43BFD">
    <w:pPr>
      <w:pStyle w:val="17"/>
      <w:spacing w:after="200"/>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pStyle w:val="51"/>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evenAndOddHeaders w:val="1"/>
  <w:drawingGridHorizontalSpacing w:val="90"/>
  <w:drawingGridVerticalSpacing w:val="156"/>
  <w:displayHorizontalDrawingGridEvery w:val="2"/>
  <w:displayVerticalDrawingGridEvery w:val="2"/>
  <w:noPunctuationKerning w:val="1"/>
  <w:characterSpacingControl w:val="doNotCompress"/>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ZDJjODdhMDhlMTA5N2YwMjQ1ZDZlM2Y1NTdhMjgifQ=="/>
  </w:docVars>
  <w:rsids>
    <w:rsidRoot w:val="00172A27"/>
    <w:rsid w:val="00001E6D"/>
    <w:rsid w:val="00002399"/>
    <w:rsid w:val="0000244E"/>
    <w:rsid w:val="00002683"/>
    <w:rsid w:val="00003034"/>
    <w:rsid w:val="0000336E"/>
    <w:rsid w:val="0000394E"/>
    <w:rsid w:val="00004975"/>
    <w:rsid w:val="00006110"/>
    <w:rsid w:val="00006E1E"/>
    <w:rsid w:val="0001099A"/>
    <w:rsid w:val="00011539"/>
    <w:rsid w:val="000127E9"/>
    <w:rsid w:val="00013717"/>
    <w:rsid w:val="00015126"/>
    <w:rsid w:val="000159BC"/>
    <w:rsid w:val="00015D3D"/>
    <w:rsid w:val="00016CAF"/>
    <w:rsid w:val="00016EA9"/>
    <w:rsid w:val="0002117A"/>
    <w:rsid w:val="000261E3"/>
    <w:rsid w:val="00026D1F"/>
    <w:rsid w:val="0002706F"/>
    <w:rsid w:val="00031A30"/>
    <w:rsid w:val="000325A8"/>
    <w:rsid w:val="000334EA"/>
    <w:rsid w:val="000354D5"/>
    <w:rsid w:val="0004036C"/>
    <w:rsid w:val="00040389"/>
    <w:rsid w:val="0004124F"/>
    <w:rsid w:val="000422A7"/>
    <w:rsid w:val="00043355"/>
    <w:rsid w:val="000436D4"/>
    <w:rsid w:val="00043EDE"/>
    <w:rsid w:val="00044CA8"/>
    <w:rsid w:val="00045536"/>
    <w:rsid w:val="00046371"/>
    <w:rsid w:val="00050287"/>
    <w:rsid w:val="000509B9"/>
    <w:rsid w:val="00051435"/>
    <w:rsid w:val="00057847"/>
    <w:rsid w:val="00063116"/>
    <w:rsid w:val="00064724"/>
    <w:rsid w:val="0006513E"/>
    <w:rsid w:val="00065871"/>
    <w:rsid w:val="000659F2"/>
    <w:rsid w:val="00065CAA"/>
    <w:rsid w:val="00066644"/>
    <w:rsid w:val="0007019F"/>
    <w:rsid w:val="00070A49"/>
    <w:rsid w:val="000716D2"/>
    <w:rsid w:val="000724F6"/>
    <w:rsid w:val="000728DD"/>
    <w:rsid w:val="00073AEE"/>
    <w:rsid w:val="00074D41"/>
    <w:rsid w:val="0007590F"/>
    <w:rsid w:val="00076840"/>
    <w:rsid w:val="0007725F"/>
    <w:rsid w:val="00080566"/>
    <w:rsid w:val="00080660"/>
    <w:rsid w:val="00082190"/>
    <w:rsid w:val="00082297"/>
    <w:rsid w:val="000826A2"/>
    <w:rsid w:val="00082BBB"/>
    <w:rsid w:val="00083822"/>
    <w:rsid w:val="00083890"/>
    <w:rsid w:val="000849C1"/>
    <w:rsid w:val="00086028"/>
    <w:rsid w:val="000865B7"/>
    <w:rsid w:val="00091192"/>
    <w:rsid w:val="0009391E"/>
    <w:rsid w:val="00093992"/>
    <w:rsid w:val="000943A9"/>
    <w:rsid w:val="00097D1A"/>
    <w:rsid w:val="000A24EF"/>
    <w:rsid w:val="000A2840"/>
    <w:rsid w:val="000A3586"/>
    <w:rsid w:val="000A5509"/>
    <w:rsid w:val="000A6145"/>
    <w:rsid w:val="000A6FFD"/>
    <w:rsid w:val="000A77DD"/>
    <w:rsid w:val="000B11AD"/>
    <w:rsid w:val="000B246D"/>
    <w:rsid w:val="000B3A11"/>
    <w:rsid w:val="000B3C9B"/>
    <w:rsid w:val="000B5514"/>
    <w:rsid w:val="000B62C4"/>
    <w:rsid w:val="000B73C2"/>
    <w:rsid w:val="000B7A57"/>
    <w:rsid w:val="000C3A68"/>
    <w:rsid w:val="000C5260"/>
    <w:rsid w:val="000C698E"/>
    <w:rsid w:val="000D1240"/>
    <w:rsid w:val="000D29FE"/>
    <w:rsid w:val="000D2EB6"/>
    <w:rsid w:val="000D32FC"/>
    <w:rsid w:val="000D49E6"/>
    <w:rsid w:val="000D664D"/>
    <w:rsid w:val="000E099B"/>
    <w:rsid w:val="000E0B11"/>
    <w:rsid w:val="000E158B"/>
    <w:rsid w:val="000E1ADF"/>
    <w:rsid w:val="000E2B4D"/>
    <w:rsid w:val="000E3A23"/>
    <w:rsid w:val="000E40F5"/>
    <w:rsid w:val="000E4E01"/>
    <w:rsid w:val="000E5902"/>
    <w:rsid w:val="000E5934"/>
    <w:rsid w:val="000E5E7D"/>
    <w:rsid w:val="000E77BA"/>
    <w:rsid w:val="000E7902"/>
    <w:rsid w:val="000E7F83"/>
    <w:rsid w:val="000F0066"/>
    <w:rsid w:val="000F1E13"/>
    <w:rsid w:val="000F279C"/>
    <w:rsid w:val="000F2921"/>
    <w:rsid w:val="000F2C23"/>
    <w:rsid w:val="000F3568"/>
    <w:rsid w:val="000F3872"/>
    <w:rsid w:val="000F3C20"/>
    <w:rsid w:val="000F3FDE"/>
    <w:rsid w:val="000F50A2"/>
    <w:rsid w:val="000F53EE"/>
    <w:rsid w:val="000F65E4"/>
    <w:rsid w:val="000F6F2A"/>
    <w:rsid w:val="00100D99"/>
    <w:rsid w:val="00101AE9"/>
    <w:rsid w:val="001020A9"/>
    <w:rsid w:val="0010389A"/>
    <w:rsid w:val="00104A5F"/>
    <w:rsid w:val="00106974"/>
    <w:rsid w:val="00107F10"/>
    <w:rsid w:val="00110C1D"/>
    <w:rsid w:val="0011157D"/>
    <w:rsid w:val="00111CFD"/>
    <w:rsid w:val="00111E66"/>
    <w:rsid w:val="001122E1"/>
    <w:rsid w:val="00112CCB"/>
    <w:rsid w:val="0012060A"/>
    <w:rsid w:val="0012067C"/>
    <w:rsid w:val="0012231B"/>
    <w:rsid w:val="00122333"/>
    <w:rsid w:val="0012359B"/>
    <w:rsid w:val="001244A3"/>
    <w:rsid w:val="00124C1F"/>
    <w:rsid w:val="00125D9B"/>
    <w:rsid w:val="001305C0"/>
    <w:rsid w:val="001306FC"/>
    <w:rsid w:val="001311A3"/>
    <w:rsid w:val="00131508"/>
    <w:rsid w:val="0013163E"/>
    <w:rsid w:val="00131754"/>
    <w:rsid w:val="00133191"/>
    <w:rsid w:val="001337B9"/>
    <w:rsid w:val="00134C25"/>
    <w:rsid w:val="00135BA4"/>
    <w:rsid w:val="00136F12"/>
    <w:rsid w:val="001374A9"/>
    <w:rsid w:val="00137B62"/>
    <w:rsid w:val="00141C0C"/>
    <w:rsid w:val="00141E89"/>
    <w:rsid w:val="001426DE"/>
    <w:rsid w:val="00142C88"/>
    <w:rsid w:val="00144989"/>
    <w:rsid w:val="00145362"/>
    <w:rsid w:val="00150C5A"/>
    <w:rsid w:val="00150F61"/>
    <w:rsid w:val="001516F6"/>
    <w:rsid w:val="00152791"/>
    <w:rsid w:val="001532A6"/>
    <w:rsid w:val="001533FC"/>
    <w:rsid w:val="00153C9D"/>
    <w:rsid w:val="00153DB6"/>
    <w:rsid w:val="00154751"/>
    <w:rsid w:val="001553F0"/>
    <w:rsid w:val="00156465"/>
    <w:rsid w:val="00156687"/>
    <w:rsid w:val="00157D8B"/>
    <w:rsid w:val="00162BA6"/>
    <w:rsid w:val="0016310E"/>
    <w:rsid w:val="0016459A"/>
    <w:rsid w:val="00165216"/>
    <w:rsid w:val="001663A7"/>
    <w:rsid w:val="00166AEB"/>
    <w:rsid w:val="00166EA2"/>
    <w:rsid w:val="00166F85"/>
    <w:rsid w:val="00167539"/>
    <w:rsid w:val="0017051D"/>
    <w:rsid w:val="00170692"/>
    <w:rsid w:val="00170E84"/>
    <w:rsid w:val="00172549"/>
    <w:rsid w:val="00172A27"/>
    <w:rsid w:val="001736F2"/>
    <w:rsid w:val="0017383D"/>
    <w:rsid w:val="00173F48"/>
    <w:rsid w:val="001771DC"/>
    <w:rsid w:val="001775FD"/>
    <w:rsid w:val="0018062F"/>
    <w:rsid w:val="0018251C"/>
    <w:rsid w:val="00183144"/>
    <w:rsid w:val="0018328D"/>
    <w:rsid w:val="00183BAD"/>
    <w:rsid w:val="00185FDC"/>
    <w:rsid w:val="00187090"/>
    <w:rsid w:val="00187920"/>
    <w:rsid w:val="00187FAF"/>
    <w:rsid w:val="00192528"/>
    <w:rsid w:val="001928F1"/>
    <w:rsid w:val="001933D2"/>
    <w:rsid w:val="0019486D"/>
    <w:rsid w:val="0019697F"/>
    <w:rsid w:val="001978D0"/>
    <w:rsid w:val="00197B2C"/>
    <w:rsid w:val="001A067A"/>
    <w:rsid w:val="001A0A2D"/>
    <w:rsid w:val="001A0BEC"/>
    <w:rsid w:val="001A2C3C"/>
    <w:rsid w:val="001A2C4F"/>
    <w:rsid w:val="001A3BEA"/>
    <w:rsid w:val="001A48B1"/>
    <w:rsid w:val="001A4C23"/>
    <w:rsid w:val="001A4C61"/>
    <w:rsid w:val="001A5BFD"/>
    <w:rsid w:val="001A6FE4"/>
    <w:rsid w:val="001B1221"/>
    <w:rsid w:val="001B12EC"/>
    <w:rsid w:val="001B1A28"/>
    <w:rsid w:val="001B2120"/>
    <w:rsid w:val="001B465B"/>
    <w:rsid w:val="001B4BF2"/>
    <w:rsid w:val="001C00CC"/>
    <w:rsid w:val="001C02FF"/>
    <w:rsid w:val="001C179A"/>
    <w:rsid w:val="001C2321"/>
    <w:rsid w:val="001C2FC0"/>
    <w:rsid w:val="001C3B56"/>
    <w:rsid w:val="001C3FB1"/>
    <w:rsid w:val="001C5683"/>
    <w:rsid w:val="001C616E"/>
    <w:rsid w:val="001C62B8"/>
    <w:rsid w:val="001C71D7"/>
    <w:rsid w:val="001C7FD3"/>
    <w:rsid w:val="001D2173"/>
    <w:rsid w:val="001D2328"/>
    <w:rsid w:val="001D234B"/>
    <w:rsid w:val="001D2EEB"/>
    <w:rsid w:val="001D36C2"/>
    <w:rsid w:val="001D5FB3"/>
    <w:rsid w:val="001D67F5"/>
    <w:rsid w:val="001D6B84"/>
    <w:rsid w:val="001D6C70"/>
    <w:rsid w:val="001D7274"/>
    <w:rsid w:val="001D727B"/>
    <w:rsid w:val="001D77EA"/>
    <w:rsid w:val="001E058F"/>
    <w:rsid w:val="001E111C"/>
    <w:rsid w:val="001E1E6A"/>
    <w:rsid w:val="001E1FAA"/>
    <w:rsid w:val="001E26A7"/>
    <w:rsid w:val="001E2A56"/>
    <w:rsid w:val="001E2C85"/>
    <w:rsid w:val="001E3309"/>
    <w:rsid w:val="001E3395"/>
    <w:rsid w:val="001E3A84"/>
    <w:rsid w:val="001E49E1"/>
    <w:rsid w:val="001E65BB"/>
    <w:rsid w:val="001E682B"/>
    <w:rsid w:val="001F0BE7"/>
    <w:rsid w:val="001F14EC"/>
    <w:rsid w:val="001F271A"/>
    <w:rsid w:val="001F322B"/>
    <w:rsid w:val="001F4BFB"/>
    <w:rsid w:val="001F53C5"/>
    <w:rsid w:val="001F58F8"/>
    <w:rsid w:val="001F60CE"/>
    <w:rsid w:val="001F688D"/>
    <w:rsid w:val="001F6C64"/>
    <w:rsid w:val="001F73E0"/>
    <w:rsid w:val="0020253E"/>
    <w:rsid w:val="00202AF3"/>
    <w:rsid w:val="00202C91"/>
    <w:rsid w:val="002035BD"/>
    <w:rsid w:val="00203FF0"/>
    <w:rsid w:val="0020450F"/>
    <w:rsid w:val="00207AB2"/>
    <w:rsid w:val="00210841"/>
    <w:rsid w:val="00211AAD"/>
    <w:rsid w:val="00213E2D"/>
    <w:rsid w:val="00214E5D"/>
    <w:rsid w:val="00214FF7"/>
    <w:rsid w:val="00215FB0"/>
    <w:rsid w:val="002206A9"/>
    <w:rsid w:val="0022088D"/>
    <w:rsid w:val="00222C0D"/>
    <w:rsid w:val="00223B92"/>
    <w:rsid w:val="0022400E"/>
    <w:rsid w:val="002241AF"/>
    <w:rsid w:val="00224B52"/>
    <w:rsid w:val="0022506F"/>
    <w:rsid w:val="002260D0"/>
    <w:rsid w:val="00226D0D"/>
    <w:rsid w:val="002272AE"/>
    <w:rsid w:val="00230048"/>
    <w:rsid w:val="00230B16"/>
    <w:rsid w:val="002320ED"/>
    <w:rsid w:val="00232F78"/>
    <w:rsid w:val="00233300"/>
    <w:rsid w:val="00233EBC"/>
    <w:rsid w:val="002341E8"/>
    <w:rsid w:val="0023465A"/>
    <w:rsid w:val="002379E7"/>
    <w:rsid w:val="00240974"/>
    <w:rsid w:val="002414D2"/>
    <w:rsid w:val="00241F38"/>
    <w:rsid w:val="00244AB3"/>
    <w:rsid w:val="00244C52"/>
    <w:rsid w:val="00244FB2"/>
    <w:rsid w:val="0024567A"/>
    <w:rsid w:val="00246CA0"/>
    <w:rsid w:val="00246FC7"/>
    <w:rsid w:val="0024762A"/>
    <w:rsid w:val="00247874"/>
    <w:rsid w:val="00247BBA"/>
    <w:rsid w:val="0025043C"/>
    <w:rsid w:val="002509B9"/>
    <w:rsid w:val="00250A5D"/>
    <w:rsid w:val="00251559"/>
    <w:rsid w:val="00251A4A"/>
    <w:rsid w:val="00252415"/>
    <w:rsid w:val="0025425C"/>
    <w:rsid w:val="002601AF"/>
    <w:rsid w:val="002643F9"/>
    <w:rsid w:val="00264416"/>
    <w:rsid w:val="00264C12"/>
    <w:rsid w:val="002655B2"/>
    <w:rsid w:val="00265DC4"/>
    <w:rsid w:val="00266C70"/>
    <w:rsid w:val="00267D05"/>
    <w:rsid w:val="00270716"/>
    <w:rsid w:val="0027383D"/>
    <w:rsid w:val="00273B0B"/>
    <w:rsid w:val="00273E56"/>
    <w:rsid w:val="0027441F"/>
    <w:rsid w:val="00274B58"/>
    <w:rsid w:val="00275C6A"/>
    <w:rsid w:val="00280A88"/>
    <w:rsid w:val="002810A0"/>
    <w:rsid w:val="00281EF9"/>
    <w:rsid w:val="002824FF"/>
    <w:rsid w:val="00282C83"/>
    <w:rsid w:val="002845D7"/>
    <w:rsid w:val="00284B4C"/>
    <w:rsid w:val="0028556D"/>
    <w:rsid w:val="00285745"/>
    <w:rsid w:val="00286AE6"/>
    <w:rsid w:val="00287622"/>
    <w:rsid w:val="00287F39"/>
    <w:rsid w:val="002918CF"/>
    <w:rsid w:val="002929C0"/>
    <w:rsid w:val="00293DF0"/>
    <w:rsid w:val="00294026"/>
    <w:rsid w:val="00294CB2"/>
    <w:rsid w:val="002977E9"/>
    <w:rsid w:val="002A09E4"/>
    <w:rsid w:val="002A27B8"/>
    <w:rsid w:val="002A2D4A"/>
    <w:rsid w:val="002A2D79"/>
    <w:rsid w:val="002A2E0E"/>
    <w:rsid w:val="002A30DC"/>
    <w:rsid w:val="002A3195"/>
    <w:rsid w:val="002A384E"/>
    <w:rsid w:val="002A4B1B"/>
    <w:rsid w:val="002A5A04"/>
    <w:rsid w:val="002A607C"/>
    <w:rsid w:val="002A7404"/>
    <w:rsid w:val="002A789B"/>
    <w:rsid w:val="002A7AFB"/>
    <w:rsid w:val="002A7C6B"/>
    <w:rsid w:val="002B0462"/>
    <w:rsid w:val="002B0960"/>
    <w:rsid w:val="002B1022"/>
    <w:rsid w:val="002B29CD"/>
    <w:rsid w:val="002B35A3"/>
    <w:rsid w:val="002B4319"/>
    <w:rsid w:val="002B4820"/>
    <w:rsid w:val="002B483E"/>
    <w:rsid w:val="002B5048"/>
    <w:rsid w:val="002C08DF"/>
    <w:rsid w:val="002C3046"/>
    <w:rsid w:val="002C35B9"/>
    <w:rsid w:val="002C391D"/>
    <w:rsid w:val="002C44FE"/>
    <w:rsid w:val="002C4CB7"/>
    <w:rsid w:val="002C788D"/>
    <w:rsid w:val="002C7A57"/>
    <w:rsid w:val="002D0E59"/>
    <w:rsid w:val="002D1DDF"/>
    <w:rsid w:val="002D2C4E"/>
    <w:rsid w:val="002D3E95"/>
    <w:rsid w:val="002D5352"/>
    <w:rsid w:val="002D5978"/>
    <w:rsid w:val="002D5A59"/>
    <w:rsid w:val="002E09D5"/>
    <w:rsid w:val="002E31B2"/>
    <w:rsid w:val="002E32A9"/>
    <w:rsid w:val="002E50BB"/>
    <w:rsid w:val="002E5812"/>
    <w:rsid w:val="002E67A9"/>
    <w:rsid w:val="002F35AF"/>
    <w:rsid w:val="002F3E2B"/>
    <w:rsid w:val="002F4786"/>
    <w:rsid w:val="002F4794"/>
    <w:rsid w:val="002F5549"/>
    <w:rsid w:val="002F6CB3"/>
    <w:rsid w:val="00301CB8"/>
    <w:rsid w:val="00301DC2"/>
    <w:rsid w:val="003022ED"/>
    <w:rsid w:val="003030F3"/>
    <w:rsid w:val="00303A41"/>
    <w:rsid w:val="00305090"/>
    <w:rsid w:val="003050B8"/>
    <w:rsid w:val="003064D0"/>
    <w:rsid w:val="00306B36"/>
    <w:rsid w:val="00307085"/>
    <w:rsid w:val="00311C40"/>
    <w:rsid w:val="0031214F"/>
    <w:rsid w:val="00313010"/>
    <w:rsid w:val="003158DF"/>
    <w:rsid w:val="00316A56"/>
    <w:rsid w:val="0032109E"/>
    <w:rsid w:val="00321FFE"/>
    <w:rsid w:val="00323A7A"/>
    <w:rsid w:val="00324822"/>
    <w:rsid w:val="00324D5D"/>
    <w:rsid w:val="00325452"/>
    <w:rsid w:val="003256CA"/>
    <w:rsid w:val="003267D7"/>
    <w:rsid w:val="0032734F"/>
    <w:rsid w:val="00327FF0"/>
    <w:rsid w:val="003300CD"/>
    <w:rsid w:val="00330922"/>
    <w:rsid w:val="00331EE5"/>
    <w:rsid w:val="00332428"/>
    <w:rsid w:val="00332458"/>
    <w:rsid w:val="00332F82"/>
    <w:rsid w:val="0034147D"/>
    <w:rsid w:val="0034184C"/>
    <w:rsid w:val="00341907"/>
    <w:rsid w:val="00341926"/>
    <w:rsid w:val="00341D10"/>
    <w:rsid w:val="00341D86"/>
    <w:rsid w:val="003430C2"/>
    <w:rsid w:val="00343177"/>
    <w:rsid w:val="0034696B"/>
    <w:rsid w:val="003469A9"/>
    <w:rsid w:val="0034705A"/>
    <w:rsid w:val="00347828"/>
    <w:rsid w:val="003502D1"/>
    <w:rsid w:val="0035038B"/>
    <w:rsid w:val="00350ABE"/>
    <w:rsid w:val="00350EF5"/>
    <w:rsid w:val="0035105E"/>
    <w:rsid w:val="00353D2E"/>
    <w:rsid w:val="003550B0"/>
    <w:rsid w:val="00355484"/>
    <w:rsid w:val="00355AD0"/>
    <w:rsid w:val="00356BB4"/>
    <w:rsid w:val="00356D0D"/>
    <w:rsid w:val="00360969"/>
    <w:rsid w:val="0036134C"/>
    <w:rsid w:val="003619B5"/>
    <w:rsid w:val="003624EF"/>
    <w:rsid w:val="0036296E"/>
    <w:rsid w:val="0036384E"/>
    <w:rsid w:val="003638AA"/>
    <w:rsid w:val="003643AA"/>
    <w:rsid w:val="003644A3"/>
    <w:rsid w:val="00364A01"/>
    <w:rsid w:val="00364D30"/>
    <w:rsid w:val="00365DB2"/>
    <w:rsid w:val="003714F0"/>
    <w:rsid w:val="00371A61"/>
    <w:rsid w:val="0037324A"/>
    <w:rsid w:val="0037376A"/>
    <w:rsid w:val="003743B0"/>
    <w:rsid w:val="00374892"/>
    <w:rsid w:val="003757C9"/>
    <w:rsid w:val="00375A0B"/>
    <w:rsid w:val="00375FB0"/>
    <w:rsid w:val="0037614C"/>
    <w:rsid w:val="00376459"/>
    <w:rsid w:val="00377234"/>
    <w:rsid w:val="003773E1"/>
    <w:rsid w:val="00377406"/>
    <w:rsid w:val="00377684"/>
    <w:rsid w:val="00380A48"/>
    <w:rsid w:val="0038128B"/>
    <w:rsid w:val="00381572"/>
    <w:rsid w:val="00381610"/>
    <w:rsid w:val="0038165A"/>
    <w:rsid w:val="003816B9"/>
    <w:rsid w:val="00381CE2"/>
    <w:rsid w:val="0038202E"/>
    <w:rsid w:val="00382D17"/>
    <w:rsid w:val="0038319F"/>
    <w:rsid w:val="00383AA7"/>
    <w:rsid w:val="00384878"/>
    <w:rsid w:val="00386248"/>
    <w:rsid w:val="00387691"/>
    <w:rsid w:val="003919F0"/>
    <w:rsid w:val="00392AC2"/>
    <w:rsid w:val="00392EE4"/>
    <w:rsid w:val="0039330E"/>
    <w:rsid w:val="003939C9"/>
    <w:rsid w:val="00394A33"/>
    <w:rsid w:val="00395EE0"/>
    <w:rsid w:val="003964E7"/>
    <w:rsid w:val="003A05A7"/>
    <w:rsid w:val="003A0858"/>
    <w:rsid w:val="003A0D45"/>
    <w:rsid w:val="003A2657"/>
    <w:rsid w:val="003A3033"/>
    <w:rsid w:val="003A3101"/>
    <w:rsid w:val="003A38A9"/>
    <w:rsid w:val="003A3FA7"/>
    <w:rsid w:val="003A4C21"/>
    <w:rsid w:val="003A5DB5"/>
    <w:rsid w:val="003A6167"/>
    <w:rsid w:val="003A63D1"/>
    <w:rsid w:val="003A69C8"/>
    <w:rsid w:val="003A6F5E"/>
    <w:rsid w:val="003A72BF"/>
    <w:rsid w:val="003A794B"/>
    <w:rsid w:val="003B035F"/>
    <w:rsid w:val="003B1973"/>
    <w:rsid w:val="003B467C"/>
    <w:rsid w:val="003B6DAE"/>
    <w:rsid w:val="003C09AF"/>
    <w:rsid w:val="003C18A3"/>
    <w:rsid w:val="003C2370"/>
    <w:rsid w:val="003C28BD"/>
    <w:rsid w:val="003C317C"/>
    <w:rsid w:val="003C4866"/>
    <w:rsid w:val="003C4958"/>
    <w:rsid w:val="003C5D7B"/>
    <w:rsid w:val="003C7AF9"/>
    <w:rsid w:val="003C7CE1"/>
    <w:rsid w:val="003D0D16"/>
    <w:rsid w:val="003D1AA7"/>
    <w:rsid w:val="003D3630"/>
    <w:rsid w:val="003D3D95"/>
    <w:rsid w:val="003D3F5E"/>
    <w:rsid w:val="003D557C"/>
    <w:rsid w:val="003D5628"/>
    <w:rsid w:val="003D5A21"/>
    <w:rsid w:val="003D694B"/>
    <w:rsid w:val="003D7401"/>
    <w:rsid w:val="003D7983"/>
    <w:rsid w:val="003D7A28"/>
    <w:rsid w:val="003E06E3"/>
    <w:rsid w:val="003E3CE1"/>
    <w:rsid w:val="003E3F22"/>
    <w:rsid w:val="003E3FBD"/>
    <w:rsid w:val="003E4626"/>
    <w:rsid w:val="003E7664"/>
    <w:rsid w:val="003F0BD7"/>
    <w:rsid w:val="003F0F5D"/>
    <w:rsid w:val="003F1913"/>
    <w:rsid w:val="003F1F64"/>
    <w:rsid w:val="003F279E"/>
    <w:rsid w:val="003F334D"/>
    <w:rsid w:val="003F3B69"/>
    <w:rsid w:val="003F5EDC"/>
    <w:rsid w:val="003F658E"/>
    <w:rsid w:val="003F6822"/>
    <w:rsid w:val="003F6EE1"/>
    <w:rsid w:val="003F7FD0"/>
    <w:rsid w:val="004002F7"/>
    <w:rsid w:val="00400623"/>
    <w:rsid w:val="00401FDB"/>
    <w:rsid w:val="0040227C"/>
    <w:rsid w:val="004027F6"/>
    <w:rsid w:val="00403368"/>
    <w:rsid w:val="00403686"/>
    <w:rsid w:val="00404EFB"/>
    <w:rsid w:val="004051B1"/>
    <w:rsid w:val="004100A9"/>
    <w:rsid w:val="0041109C"/>
    <w:rsid w:val="004117E0"/>
    <w:rsid w:val="00412770"/>
    <w:rsid w:val="00413B21"/>
    <w:rsid w:val="004150DB"/>
    <w:rsid w:val="00416748"/>
    <w:rsid w:val="004203A3"/>
    <w:rsid w:val="004210CA"/>
    <w:rsid w:val="00422E11"/>
    <w:rsid w:val="00423022"/>
    <w:rsid w:val="004233B1"/>
    <w:rsid w:val="00425B21"/>
    <w:rsid w:val="00426BEF"/>
    <w:rsid w:val="0043112D"/>
    <w:rsid w:val="00431766"/>
    <w:rsid w:val="004338C2"/>
    <w:rsid w:val="00433D31"/>
    <w:rsid w:val="00433E90"/>
    <w:rsid w:val="004369EB"/>
    <w:rsid w:val="00436BE5"/>
    <w:rsid w:val="00440F63"/>
    <w:rsid w:val="00442107"/>
    <w:rsid w:val="004425A1"/>
    <w:rsid w:val="00442F50"/>
    <w:rsid w:val="00443DCD"/>
    <w:rsid w:val="0044404B"/>
    <w:rsid w:val="00444926"/>
    <w:rsid w:val="0044549E"/>
    <w:rsid w:val="004474D1"/>
    <w:rsid w:val="004557A5"/>
    <w:rsid w:val="00455890"/>
    <w:rsid w:val="0045764F"/>
    <w:rsid w:val="004600D4"/>
    <w:rsid w:val="00460411"/>
    <w:rsid w:val="00461A33"/>
    <w:rsid w:val="00462351"/>
    <w:rsid w:val="00462D94"/>
    <w:rsid w:val="00466459"/>
    <w:rsid w:val="00466F5D"/>
    <w:rsid w:val="00472ED6"/>
    <w:rsid w:val="00474CE9"/>
    <w:rsid w:val="00477059"/>
    <w:rsid w:val="0047751A"/>
    <w:rsid w:val="00480DEF"/>
    <w:rsid w:val="00481A02"/>
    <w:rsid w:val="004822B1"/>
    <w:rsid w:val="00482CC6"/>
    <w:rsid w:val="00482DF7"/>
    <w:rsid w:val="004833B6"/>
    <w:rsid w:val="0048436A"/>
    <w:rsid w:val="004852EB"/>
    <w:rsid w:val="004916BD"/>
    <w:rsid w:val="00493FA1"/>
    <w:rsid w:val="004947D2"/>
    <w:rsid w:val="00494D1D"/>
    <w:rsid w:val="00495784"/>
    <w:rsid w:val="00497ACB"/>
    <w:rsid w:val="00497D5A"/>
    <w:rsid w:val="00497DA1"/>
    <w:rsid w:val="004A03AC"/>
    <w:rsid w:val="004A1724"/>
    <w:rsid w:val="004A5549"/>
    <w:rsid w:val="004A63F4"/>
    <w:rsid w:val="004B1112"/>
    <w:rsid w:val="004B155A"/>
    <w:rsid w:val="004B2968"/>
    <w:rsid w:val="004B32DA"/>
    <w:rsid w:val="004B3566"/>
    <w:rsid w:val="004B40FE"/>
    <w:rsid w:val="004B4691"/>
    <w:rsid w:val="004B4A48"/>
    <w:rsid w:val="004B689A"/>
    <w:rsid w:val="004B74CC"/>
    <w:rsid w:val="004B7829"/>
    <w:rsid w:val="004B7AAF"/>
    <w:rsid w:val="004C0995"/>
    <w:rsid w:val="004C1065"/>
    <w:rsid w:val="004C46CD"/>
    <w:rsid w:val="004C4CC7"/>
    <w:rsid w:val="004C52A9"/>
    <w:rsid w:val="004C7477"/>
    <w:rsid w:val="004D0367"/>
    <w:rsid w:val="004D3EBC"/>
    <w:rsid w:val="004E006F"/>
    <w:rsid w:val="004E26F6"/>
    <w:rsid w:val="004E3448"/>
    <w:rsid w:val="004E441B"/>
    <w:rsid w:val="004E53A7"/>
    <w:rsid w:val="004E6C40"/>
    <w:rsid w:val="004E6D1D"/>
    <w:rsid w:val="004E7226"/>
    <w:rsid w:val="004E7594"/>
    <w:rsid w:val="004F059A"/>
    <w:rsid w:val="004F0879"/>
    <w:rsid w:val="004F1B84"/>
    <w:rsid w:val="004F36C6"/>
    <w:rsid w:val="004F3D98"/>
    <w:rsid w:val="004F6E84"/>
    <w:rsid w:val="00501B97"/>
    <w:rsid w:val="00502021"/>
    <w:rsid w:val="0050260C"/>
    <w:rsid w:val="0050281E"/>
    <w:rsid w:val="00503AD4"/>
    <w:rsid w:val="00504989"/>
    <w:rsid w:val="005051D1"/>
    <w:rsid w:val="0050670E"/>
    <w:rsid w:val="005070D4"/>
    <w:rsid w:val="00507391"/>
    <w:rsid w:val="00507AFF"/>
    <w:rsid w:val="00507D24"/>
    <w:rsid w:val="005104C4"/>
    <w:rsid w:val="00510DD5"/>
    <w:rsid w:val="00511593"/>
    <w:rsid w:val="00511995"/>
    <w:rsid w:val="00512320"/>
    <w:rsid w:val="0051254A"/>
    <w:rsid w:val="005126B0"/>
    <w:rsid w:val="005132F8"/>
    <w:rsid w:val="00514021"/>
    <w:rsid w:val="00514E71"/>
    <w:rsid w:val="0051684C"/>
    <w:rsid w:val="00516ED9"/>
    <w:rsid w:val="00520807"/>
    <w:rsid w:val="00521527"/>
    <w:rsid w:val="005237A5"/>
    <w:rsid w:val="00523958"/>
    <w:rsid w:val="00525367"/>
    <w:rsid w:val="0052668B"/>
    <w:rsid w:val="00527CBB"/>
    <w:rsid w:val="0053060E"/>
    <w:rsid w:val="005332B6"/>
    <w:rsid w:val="005340AD"/>
    <w:rsid w:val="005342D4"/>
    <w:rsid w:val="00535E79"/>
    <w:rsid w:val="005378CA"/>
    <w:rsid w:val="00537AB0"/>
    <w:rsid w:val="005418FD"/>
    <w:rsid w:val="00542253"/>
    <w:rsid w:val="00544753"/>
    <w:rsid w:val="005451BD"/>
    <w:rsid w:val="0054669B"/>
    <w:rsid w:val="00550268"/>
    <w:rsid w:val="00551426"/>
    <w:rsid w:val="0055149F"/>
    <w:rsid w:val="00551727"/>
    <w:rsid w:val="00551AFE"/>
    <w:rsid w:val="00551C9F"/>
    <w:rsid w:val="00552F3E"/>
    <w:rsid w:val="005541E4"/>
    <w:rsid w:val="00554779"/>
    <w:rsid w:val="00556B38"/>
    <w:rsid w:val="00556B9E"/>
    <w:rsid w:val="00556DB7"/>
    <w:rsid w:val="0056072F"/>
    <w:rsid w:val="0056191F"/>
    <w:rsid w:val="0056219D"/>
    <w:rsid w:val="00562A16"/>
    <w:rsid w:val="00562C98"/>
    <w:rsid w:val="00563896"/>
    <w:rsid w:val="00564066"/>
    <w:rsid w:val="005651B6"/>
    <w:rsid w:val="00565AA1"/>
    <w:rsid w:val="0056664A"/>
    <w:rsid w:val="00567726"/>
    <w:rsid w:val="00567D86"/>
    <w:rsid w:val="00570A33"/>
    <w:rsid w:val="00572A3B"/>
    <w:rsid w:val="00572AFF"/>
    <w:rsid w:val="00574708"/>
    <w:rsid w:val="00581165"/>
    <w:rsid w:val="00581175"/>
    <w:rsid w:val="00581F91"/>
    <w:rsid w:val="00582850"/>
    <w:rsid w:val="00582C23"/>
    <w:rsid w:val="00582E6F"/>
    <w:rsid w:val="0058332C"/>
    <w:rsid w:val="00583659"/>
    <w:rsid w:val="00583678"/>
    <w:rsid w:val="00583B3E"/>
    <w:rsid w:val="00583CE1"/>
    <w:rsid w:val="00584FCD"/>
    <w:rsid w:val="00585106"/>
    <w:rsid w:val="00586E97"/>
    <w:rsid w:val="00587F4B"/>
    <w:rsid w:val="00591C9A"/>
    <w:rsid w:val="005927BA"/>
    <w:rsid w:val="00593068"/>
    <w:rsid w:val="00593139"/>
    <w:rsid w:val="0059320B"/>
    <w:rsid w:val="00593E49"/>
    <w:rsid w:val="00593E56"/>
    <w:rsid w:val="00594528"/>
    <w:rsid w:val="0059592A"/>
    <w:rsid w:val="005961F8"/>
    <w:rsid w:val="00597A3E"/>
    <w:rsid w:val="00597A7F"/>
    <w:rsid w:val="005A015E"/>
    <w:rsid w:val="005A0267"/>
    <w:rsid w:val="005A172D"/>
    <w:rsid w:val="005A3028"/>
    <w:rsid w:val="005A377A"/>
    <w:rsid w:val="005A3865"/>
    <w:rsid w:val="005A3F71"/>
    <w:rsid w:val="005A5024"/>
    <w:rsid w:val="005A7568"/>
    <w:rsid w:val="005A7836"/>
    <w:rsid w:val="005A7900"/>
    <w:rsid w:val="005B05AC"/>
    <w:rsid w:val="005B1276"/>
    <w:rsid w:val="005B5B49"/>
    <w:rsid w:val="005B6E8A"/>
    <w:rsid w:val="005B6EBC"/>
    <w:rsid w:val="005B715D"/>
    <w:rsid w:val="005C3B22"/>
    <w:rsid w:val="005C4CA0"/>
    <w:rsid w:val="005C4DDA"/>
    <w:rsid w:val="005C4FD9"/>
    <w:rsid w:val="005C5B7D"/>
    <w:rsid w:val="005C6C2D"/>
    <w:rsid w:val="005C712B"/>
    <w:rsid w:val="005C7C37"/>
    <w:rsid w:val="005C7D22"/>
    <w:rsid w:val="005D0A24"/>
    <w:rsid w:val="005D2DF2"/>
    <w:rsid w:val="005D3828"/>
    <w:rsid w:val="005D491E"/>
    <w:rsid w:val="005D55FB"/>
    <w:rsid w:val="005D5A38"/>
    <w:rsid w:val="005E0BFA"/>
    <w:rsid w:val="005E1161"/>
    <w:rsid w:val="005E195A"/>
    <w:rsid w:val="005E2B48"/>
    <w:rsid w:val="005E2F29"/>
    <w:rsid w:val="005E392C"/>
    <w:rsid w:val="005E4AA3"/>
    <w:rsid w:val="005E4FFC"/>
    <w:rsid w:val="005E501A"/>
    <w:rsid w:val="005E754E"/>
    <w:rsid w:val="005F067D"/>
    <w:rsid w:val="005F1A40"/>
    <w:rsid w:val="005F1C1D"/>
    <w:rsid w:val="005F20B8"/>
    <w:rsid w:val="005F221A"/>
    <w:rsid w:val="005F2CA1"/>
    <w:rsid w:val="005F2F1B"/>
    <w:rsid w:val="005F445F"/>
    <w:rsid w:val="005F67A7"/>
    <w:rsid w:val="005F696C"/>
    <w:rsid w:val="005F762C"/>
    <w:rsid w:val="005F776C"/>
    <w:rsid w:val="005F7AFE"/>
    <w:rsid w:val="00601AA4"/>
    <w:rsid w:val="00601FE6"/>
    <w:rsid w:val="0060217B"/>
    <w:rsid w:val="006031D6"/>
    <w:rsid w:val="00603BAB"/>
    <w:rsid w:val="00604107"/>
    <w:rsid w:val="00604154"/>
    <w:rsid w:val="00604D4E"/>
    <w:rsid w:val="00605C42"/>
    <w:rsid w:val="0060755C"/>
    <w:rsid w:val="00607EF2"/>
    <w:rsid w:val="0061208B"/>
    <w:rsid w:val="006120EE"/>
    <w:rsid w:val="0061213B"/>
    <w:rsid w:val="006131DA"/>
    <w:rsid w:val="00613E5F"/>
    <w:rsid w:val="006146CA"/>
    <w:rsid w:val="00614FB2"/>
    <w:rsid w:val="006157B4"/>
    <w:rsid w:val="00615EAD"/>
    <w:rsid w:val="00620995"/>
    <w:rsid w:val="00620D15"/>
    <w:rsid w:val="00621A0F"/>
    <w:rsid w:val="00621D43"/>
    <w:rsid w:val="00622863"/>
    <w:rsid w:val="00623B4E"/>
    <w:rsid w:val="00624B90"/>
    <w:rsid w:val="00626742"/>
    <w:rsid w:val="00627DFC"/>
    <w:rsid w:val="0063211C"/>
    <w:rsid w:val="00633F4B"/>
    <w:rsid w:val="006344D6"/>
    <w:rsid w:val="00634F94"/>
    <w:rsid w:val="00636F78"/>
    <w:rsid w:val="006412DB"/>
    <w:rsid w:val="00641782"/>
    <w:rsid w:val="00641B17"/>
    <w:rsid w:val="0064247D"/>
    <w:rsid w:val="00642586"/>
    <w:rsid w:val="0064258E"/>
    <w:rsid w:val="006427AC"/>
    <w:rsid w:val="006435C7"/>
    <w:rsid w:val="0064421A"/>
    <w:rsid w:val="00645123"/>
    <w:rsid w:val="006454E9"/>
    <w:rsid w:val="0064577B"/>
    <w:rsid w:val="006467EC"/>
    <w:rsid w:val="006518D2"/>
    <w:rsid w:val="0065294F"/>
    <w:rsid w:val="00655477"/>
    <w:rsid w:val="00656D8C"/>
    <w:rsid w:val="006573EE"/>
    <w:rsid w:val="00660DEC"/>
    <w:rsid w:val="0066138D"/>
    <w:rsid w:val="006636EF"/>
    <w:rsid w:val="00664E1C"/>
    <w:rsid w:val="00664EF5"/>
    <w:rsid w:val="00665715"/>
    <w:rsid w:val="006657D6"/>
    <w:rsid w:val="006666B1"/>
    <w:rsid w:val="006702D6"/>
    <w:rsid w:val="00670AA8"/>
    <w:rsid w:val="00671092"/>
    <w:rsid w:val="00671D98"/>
    <w:rsid w:val="006731D1"/>
    <w:rsid w:val="00673516"/>
    <w:rsid w:val="00673E3E"/>
    <w:rsid w:val="006747B9"/>
    <w:rsid w:val="006753DA"/>
    <w:rsid w:val="00675481"/>
    <w:rsid w:val="006755AB"/>
    <w:rsid w:val="00677DA2"/>
    <w:rsid w:val="006807EF"/>
    <w:rsid w:val="0068105E"/>
    <w:rsid w:val="0068338E"/>
    <w:rsid w:val="0068360B"/>
    <w:rsid w:val="006849EB"/>
    <w:rsid w:val="00685657"/>
    <w:rsid w:val="00686ADA"/>
    <w:rsid w:val="00687408"/>
    <w:rsid w:val="00687E14"/>
    <w:rsid w:val="006922F2"/>
    <w:rsid w:val="006929CF"/>
    <w:rsid w:val="00694601"/>
    <w:rsid w:val="0069528E"/>
    <w:rsid w:val="00695CB7"/>
    <w:rsid w:val="00695F63"/>
    <w:rsid w:val="0069620E"/>
    <w:rsid w:val="00696AE3"/>
    <w:rsid w:val="006A0770"/>
    <w:rsid w:val="006A19B9"/>
    <w:rsid w:val="006A1F5C"/>
    <w:rsid w:val="006A2E7C"/>
    <w:rsid w:val="006A3F41"/>
    <w:rsid w:val="006A57EE"/>
    <w:rsid w:val="006A6001"/>
    <w:rsid w:val="006A62CF"/>
    <w:rsid w:val="006A6D21"/>
    <w:rsid w:val="006A7BB1"/>
    <w:rsid w:val="006B05A9"/>
    <w:rsid w:val="006B0BB7"/>
    <w:rsid w:val="006B2D6D"/>
    <w:rsid w:val="006B4028"/>
    <w:rsid w:val="006B4D69"/>
    <w:rsid w:val="006B5B0C"/>
    <w:rsid w:val="006C06F8"/>
    <w:rsid w:val="006C09FF"/>
    <w:rsid w:val="006C2552"/>
    <w:rsid w:val="006C25CE"/>
    <w:rsid w:val="006C28C8"/>
    <w:rsid w:val="006C3336"/>
    <w:rsid w:val="006C3850"/>
    <w:rsid w:val="006C3F84"/>
    <w:rsid w:val="006C412B"/>
    <w:rsid w:val="006C4973"/>
    <w:rsid w:val="006C562C"/>
    <w:rsid w:val="006C5E5F"/>
    <w:rsid w:val="006C62F9"/>
    <w:rsid w:val="006C72F7"/>
    <w:rsid w:val="006C7BD2"/>
    <w:rsid w:val="006D2B8D"/>
    <w:rsid w:val="006D2FE9"/>
    <w:rsid w:val="006D33A2"/>
    <w:rsid w:val="006D51CB"/>
    <w:rsid w:val="006D53E3"/>
    <w:rsid w:val="006D5510"/>
    <w:rsid w:val="006E1121"/>
    <w:rsid w:val="006E1880"/>
    <w:rsid w:val="006E2227"/>
    <w:rsid w:val="006E2CD7"/>
    <w:rsid w:val="006E3BEB"/>
    <w:rsid w:val="006E3D5A"/>
    <w:rsid w:val="006E3F85"/>
    <w:rsid w:val="006E54D1"/>
    <w:rsid w:val="006E5B7C"/>
    <w:rsid w:val="006E66BC"/>
    <w:rsid w:val="006E74CA"/>
    <w:rsid w:val="006E780B"/>
    <w:rsid w:val="006E7BEE"/>
    <w:rsid w:val="006E7DE5"/>
    <w:rsid w:val="006F22F6"/>
    <w:rsid w:val="006F297E"/>
    <w:rsid w:val="006F32E1"/>
    <w:rsid w:val="006F4592"/>
    <w:rsid w:val="006F48B8"/>
    <w:rsid w:val="00700BE1"/>
    <w:rsid w:val="00700F03"/>
    <w:rsid w:val="00701CDD"/>
    <w:rsid w:val="00702B0F"/>
    <w:rsid w:val="007032E5"/>
    <w:rsid w:val="00703A32"/>
    <w:rsid w:val="00703DFF"/>
    <w:rsid w:val="007067D6"/>
    <w:rsid w:val="00706C64"/>
    <w:rsid w:val="0070754A"/>
    <w:rsid w:val="007078F6"/>
    <w:rsid w:val="00707DD0"/>
    <w:rsid w:val="00707EFA"/>
    <w:rsid w:val="00710A37"/>
    <w:rsid w:val="00710C6A"/>
    <w:rsid w:val="007111B5"/>
    <w:rsid w:val="0071401C"/>
    <w:rsid w:val="007153C4"/>
    <w:rsid w:val="007161FF"/>
    <w:rsid w:val="007162F7"/>
    <w:rsid w:val="00717FE0"/>
    <w:rsid w:val="00720660"/>
    <w:rsid w:val="00720CBB"/>
    <w:rsid w:val="00720D68"/>
    <w:rsid w:val="00720F8C"/>
    <w:rsid w:val="007215B8"/>
    <w:rsid w:val="007229D3"/>
    <w:rsid w:val="00722D7B"/>
    <w:rsid w:val="00723C9D"/>
    <w:rsid w:val="00723F32"/>
    <w:rsid w:val="007244C7"/>
    <w:rsid w:val="00724AAD"/>
    <w:rsid w:val="0072571A"/>
    <w:rsid w:val="00726A7B"/>
    <w:rsid w:val="00727A0B"/>
    <w:rsid w:val="00730371"/>
    <w:rsid w:val="007317D9"/>
    <w:rsid w:val="00731FE9"/>
    <w:rsid w:val="007324AE"/>
    <w:rsid w:val="007325C3"/>
    <w:rsid w:val="00733624"/>
    <w:rsid w:val="0073466F"/>
    <w:rsid w:val="0073574C"/>
    <w:rsid w:val="0073579B"/>
    <w:rsid w:val="00740CDE"/>
    <w:rsid w:val="00742889"/>
    <w:rsid w:val="00745066"/>
    <w:rsid w:val="00745303"/>
    <w:rsid w:val="00746C94"/>
    <w:rsid w:val="00747F63"/>
    <w:rsid w:val="00750958"/>
    <w:rsid w:val="00750D06"/>
    <w:rsid w:val="00751162"/>
    <w:rsid w:val="00751F08"/>
    <w:rsid w:val="00751F47"/>
    <w:rsid w:val="007521E8"/>
    <w:rsid w:val="007523FC"/>
    <w:rsid w:val="007551DE"/>
    <w:rsid w:val="007557A6"/>
    <w:rsid w:val="00756943"/>
    <w:rsid w:val="00760FF3"/>
    <w:rsid w:val="00764227"/>
    <w:rsid w:val="00764FE9"/>
    <w:rsid w:val="007655E5"/>
    <w:rsid w:val="00767DE5"/>
    <w:rsid w:val="00770106"/>
    <w:rsid w:val="00771A5B"/>
    <w:rsid w:val="00771AE3"/>
    <w:rsid w:val="00772498"/>
    <w:rsid w:val="0077283B"/>
    <w:rsid w:val="00772CCF"/>
    <w:rsid w:val="00773DA3"/>
    <w:rsid w:val="00773E49"/>
    <w:rsid w:val="00774019"/>
    <w:rsid w:val="00774B94"/>
    <w:rsid w:val="00775029"/>
    <w:rsid w:val="00776A65"/>
    <w:rsid w:val="007778E1"/>
    <w:rsid w:val="007801A1"/>
    <w:rsid w:val="00781045"/>
    <w:rsid w:val="0078385A"/>
    <w:rsid w:val="00784B62"/>
    <w:rsid w:val="0079077E"/>
    <w:rsid w:val="007915A3"/>
    <w:rsid w:val="00791794"/>
    <w:rsid w:val="0079179F"/>
    <w:rsid w:val="007922B4"/>
    <w:rsid w:val="007926E5"/>
    <w:rsid w:val="00793E0A"/>
    <w:rsid w:val="007942B6"/>
    <w:rsid w:val="007949AB"/>
    <w:rsid w:val="00794F6F"/>
    <w:rsid w:val="00795932"/>
    <w:rsid w:val="00795F45"/>
    <w:rsid w:val="007964C4"/>
    <w:rsid w:val="007967DC"/>
    <w:rsid w:val="007968F8"/>
    <w:rsid w:val="007970D9"/>
    <w:rsid w:val="007974C3"/>
    <w:rsid w:val="0079758F"/>
    <w:rsid w:val="00797A7F"/>
    <w:rsid w:val="007A0970"/>
    <w:rsid w:val="007A112F"/>
    <w:rsid w:val="007A28A9"/>
    <w:rsid w:val="007A2CF3"/>
    <w:rsid w:val="007A2F39"/>
    <w:rsid w:val="007A3E86"/>
    <w:rsid w:val="007A462E"/>
    <w:rsid w:val="007A4E13"/>
    <w:rsid w:val="007A5AA0"/>
    <w:rsid w:val="007A5BE3"/>
    <w:rsid w:val="007A6733"/>
    <w:rsid w:val="007A744D"/>
    <w:rsid w:val="007B0703"/>
    <w:rsid w:val="007B16F6"/>
    <w:rsid w:val="007B2030"/>
    <w:rsid w:val="007B2754"/>
    <w:rsid w:val="007B3860"/>
    <w:rsid w:val="007B510A"/>
    <w:rsid w:val="007B791E"/>
    <w:rsid w:val="007B7990"/>
    <w:rsid w:val="007B7F2B"/>
    <w:rsid w:val="007B7F53"/>
    <w:rsid w:val="007C0108"/>
    <w:rsid w:val="007C0344"/>
    <w:rsid w:val="007C0668"/>
    <w:rsid w:val="007C1254"/>
    <w:rsid w:val="007C1554"/>
    <w:rsid w:val="007C177B"/>
    <w:rsid w:val="007C3DDA"/>
    <w:rsid w:val="007C44F5"/>
    <w:rsid w:val="007C50E5"/>
    <w:rsid w:val="007C558D"/>
    <w:rsid w:val="007C6137"/>
    <w:rsid w:val="007C6223"/>
    <w:rsid w:val="007C6D80"/>
    <w:rsid w:val="007D0998"/>
    <w:rsid w:val="007D1016"/>
    <w:rsid w:val="007D3A9C"/>
    <w:rsid w:val="007D5186"/>
    <w:rsid w:val="007D57CA"/>
    <w:rsid w:val="007D7127"/>
    <w:rsid w:val="007D71A7"/>
    <w:rsid w:val="007D7917"/>
    <w:rsid w:val="007D79C6"/>
    <w:rsid w:val="007E2217"/>
    <w:rsid w:val="007E32FD"/>
    <w:rsid w:val="007E34ED"/>
    <w:rsid w:val="007E353C"/>
    <w:rsid w:val="007E3ACB"/>
    <w:rsid w:val="007E4371"/>
    <w:rsid w:val="007E45B2"/>
    <w:rsid w:val="007E6974"/>
    <w:rsid w:val="007E6C49"/>
    <w:rsid w:val="007E746D"/>
    <w:rsid w:val="007E7727"/>
    <w:rsid w:val="007F26AA"/>
    <w:rsid w:val="007F3621"/>
    <w:rsid w:val="007F45BB"/>
    <w:rsid w:val="007F6C85"/>
    <w:rsid w:val="007F6CF6"/>
    <w:rsid w:val="007F7406"/>
    <w:rsid w:val="007F7C7F"/>
    <w:rsid w:val="007F7F8F"/>
    <w:rsid w:val="008001FE"/>
    <w:rsid w:val="00800903"/>
    <w:rsid w:val="008018A7"/>
    <w:rsid w:val="008018D1"/>
    <w:rsid w:val="00802268"/>
    <w:rsid w:val="00804682"/>
    <w:rsid w:val="00805E6E"/>
    <w:rsid w:val="00807B1D"/>
    <w:rsid w:val="00810816"/>
    <w:rsid w:val="00810D8B"/>
    <w:rsid w:val="00810EEA"/>
    <w:rsid w:val="00810FBA"/>
    <w:rsid w:val="008110BB"/>
    <w:rsid w:val="008111CE"/>
    <w:rsid w:val="0081128E"/>
    <w:rsid w:val="0081196D"/>
    <w:rsid w:val="00811A54"/>
    <w:rsid w:val="00811CE4"/>
    <w:rsid w:val="00811D4A"/>
    <w:rsid w:val="008120CD"/>
    <w:rsid w:val="00812A33"/>
    <w:rsid w:val="00814059"/>
    <w:rsid w:val="00817F36"/>
    <w:rsid w:val="00823888"/>
    <w:rsid w:val="00825E15"/>
    <w:rsid w:val="00825F1D"/>
    <w:rsid w:val="00826555"/>
    <w:rsid w:val="008279BB"/>
    <w:rsid w:val="00827D2D"/>
    <w:rsid w:val="008312AD"/>
    <w:rsid w:val="0083386D"/>
    <w:rsid w:val="00833C50"/>
    <w:rsid w:val="008347C4"/>
    <w:rsid w:val="00834BC5"/>
    <w:rsid w:val="00834E8A"/>
    <w:rsid w:val="0083501C"/>
    <w:rsid w:val="0083535B"/>
    <w:rsid w:val="008354E2"/>
    <w:rsid w:val="00835844"/>
    <w:rsid w:val="008358D4"/>
    <w:rsid w:val="00835C65"/>
    <w:rsid w:val="008361A9"/>
    <w:rsid w:val="00836B1A"/>
    <w:rsid w:val="008415E6"/>
    <w:rsid w:val="00841AB1"/>
    <w:rsid w:val="00841AD6"/>
    <w:rsid w:val="00841B82"/>
    <w:rsid w:val="00842356"/>
    <w:rsid w:val="0084291B"/>
    <w:rsid w:val="00844A24"/>
    <w:rsid w:val="00845529"/>
    <w:rsid w:val="00852078"/>
    <w:rsid w:val="008527B4"/>
    <w:rsid w:val="00852B5A"/>
    <w:rsid w:val="008535DA"/>
    <w:rsid w:val="00853B11"/>
    <w:rsid w:val="00854190"/>
    <w:rsid w:val="00854EBF"/>
    <w:rsid w:val="00855FB8"/>
    <w:rsid w:val="008562C3"/>
    <w:rsid w:val="00857929"/>
    <w:rsid w:val="00861A4C"/>
    <w:rsid w:val="00861C31"/>
    <w:rsid w:val="00861F8A"/>
    <w:rsid w:val="00862939"/>
    <w:rsid w:val="0086344C"/>
    <w:rsid w:val="00864D76"/>
    <w:rsid w:val="008667F3"/>
    <w:rsid w:val="00867847"/>
    <w:rsid w:val="00867CDF"/>
    <w:rsid w:val="0087067C"/>
    <w:rsid w:val="00871D86"/>
    <w:rsid w:val="00872E8E"/>
    <w:rsid w:val="00874341"/>
    <w:rsid w:val="00875824"/>
    <w:rsid w:val="00877E86"/>
    <w:rsid w:val="00881F20"/>
    <w:rsid w:val="00882927"/>
    <w:rsid w:val="00882949"/>
    <w:rsid w:val="00882B2A"/>
    <w:rsid w:val="00884726"/>
    <w:rsid w:val="008878B5"/>
    <w:rsid w:val="00890D97"/>
    <w:rsid w:val="0089100C"/>
    <w:rsid w:val="00891986"/>
    <w:rsid w:val="00894015"/>
    <w:rsid w:val="00894BFB"/>
    <w:rsid w:val="0089655C"/>
    <w:rsid w:val="00897BC2"/>
    <w:rsid w:val="008A1C47"/>
    <w:rsid w:val="008A2270"/>
    <w:rsid w:val="008A4786"/>
    <w:rsid w:val="008A489B"/>
    <w:rsid w:val="008A48D8"/>
    <w:rsid w:val="008A4DD0"/>
    <w:rsid w:val="008A5CF7"/>
    <w:rsid w:val="008A60A1"/>
    <w:rsid w:val="008A68E7"/>
    <w:rsid w:val="008A6EAD"/>
    <w:rsid w:val="008A7644"/>
    <w:rsid w:val="008B371C"/>
    <w:rsid w:val="008B5A87"/>
    <w:rsid w:val="008B68AB"/>
    <w:rsid w:val="008B774B"/>
    <w:rsid w:val="008B794D"/>
    <w:rsid w:val="008C00EE"/>
    <w:rsid w:val="008C1603"/>
    <w:rsid w:val="008C2030"/>
    <w:rsid w:val="008C21C8"/>
    <w:rsid w:val="008C2BE0"/>
    <w:rsid w:val="008C2DC9"/>
    <w:rsid w:val="008C32E0"/>
    <w:rsid w:val="008C3326"/>
    <w:rsid w:val="008C51F1"/>
    <w:rsid w:val="008C5327"/>
    <w:rsid w:val="008C6E34"/>
    <w:rsid w:val="008D170F"/>
    <w:rsid w:val="008D3BA3"/>
    <w:rsid w:val="008D3D0B"/>
    <w:rsid w:val="008D4414"/>
    <w:rsid w:val="008D4D5D"/>
    <w:rsid w:val="008D4D67"/>
    <w:rsid w:val="008D5872"/>
    <w:rsid w:val="008D5D20"/>
    <w:rsid w:val="008D7E42"/>
    <w:rsid w:val="008E4477"/>
    <w:rsid w:val="008E4D55"/>
    <w:rsid w:val="008E4F7B"/>
    <w:rsid w:val="008E526F"/>
    <w:rsid w:val="008E5B9D"/>
    <w:rsid w:val="008F05A0"/>
    <w:rsid w:val="008F099A"/>
    <w:rsid w:val="008F1542"/>
    <w:rsid w:val="008F2A13"/>
    <w:rsid w:val="008F48B8"/>
    <w:rsid w:val="008F7338"/>
    <w:rsid w:val="008F795A"/>
    <w:rsid w:val="00902763"/>
    <w:rsid w:val="00902E78"/>
    <w:rsid w:val="00905293"/>
    <w:rsid w:val="009054BC"/>
    <w:rsid w:val="009076E8"/>
    <w:rsid w:val="009107B5"/>
    <w:rsid w:val="00911E9D"/>
    <w:rsid w:val="00911FF9"/>
    <w:rsid w:val="009137BD"/>
    <w:rsid w:val="00913A1D"/>
    <w:rsid w:val="00913B8A"/>
    <w:rsid w:val="00914F96"/>
    <w:rsid w:val="0091543E"/>
    <w:rsid w:val="009154E3"/>
    <w:rsid w:val="00915904"/>
    <w:rsid w:val="00915CC5"/>
    <w:rsid w:val="00916FED"/>
    <w:rsid w:val="009173A0"/>
    <w:rsid w:val="0091777F"/>
    <w:rsid w:val="00917782"/>
    <w:rsid w:val="00917DB7"/>
    <w:rsid w:val="00920AE0"/>
    <w:rsid w:val="00920D2C"/>
    <w:rsid w:val="00920F25"/>
    <w:rsid w:val="00921DF0"/>
    <w:rsid w:val="0092374F"/>
    <w:rsid w:val="00923A75"/>
    <w:rsid w:val="00923ECA"/>
    <w:rsid w:val="00925780"/>
    <w:rsid w:val="009266C4"/>
    <w:rsid w:val="009270C3"/>
    <w:rsid w:val="00927221"/>
    <w:rsid w:val="00930A17"/>
    <w:rsid w:val="00930D3B"/>
    <w:rsid w:val="00930FAB"/>
    <w:rsid w:val="009328D8"/>
    <w:rsid w:val="00936618"/>
    <w:rsid w:val="009373A6"/>
    <w:rsid w:val="00937920"/>
    <w:rsid w:val="00937D18"/>
    <w:rsid w:val="00937E79"/>
    <w:rsid w:val="009419A4"/>
    <w:rsid w:val="00941AE5"/>
    <w:rsid w:val="00941C5E"/>
    <w:rsid w:val="009422E8"/>
    <w:rsid w:val="00942358"/>
    <w:rsid w:val="009425C0"/>
    <w:rsid w:val="00942A99"/>
    <w:rsid w:val="00943111"/>
    <w:rsid w:val="00943165"/>
    <w:rsid w:val="0094360F"/>
    <w:rsid w:val="00943EC4"/>
    <w:rsid w:val="009445ED"/>
    <w:rsid w:val="00944703"/>
    <w:rsid w:val="00944985"/>
    <w:rsid w:val="00945924"/>
    <w:rsid w:val="00946637"/>
    <w:rsid w:val="00946FF8"/>
    <w:rsid w:val="00947C88"/>
    <w:rsid w:val="00950022"/>
    <w:rsid w:val="009503A4"/>
    <w:rsid w:val="00953F48"/>
    <w:rsid w:val="009547AB"/>
    <w:rsid w:val="0095551B"/>
    <w:rsid w:val="00955FB8"/>
    <w:rsid w:val="009562FB"/>
    <w:rsid w:val="00957DF9"/>
    <w:rsid w:val="00957E8B"/>
    <w:rsid w:val="0096084E"/>
    <w:rsid w:val="0096168D"/>
    <w:rsid w:val="00961875"/>
    <w:rsid w:val="009625F9"/>
    <w:rsid w:val="00964B9B"/>
    <w:rsid w:val="0096531E"/>
    <w:rsid w:val="009658A3"/>
    <w:rsid w:val="009661B1"/>
    <w:rsid w:val="00966F2F"/>
    <w:rsid w:val="009670EC"/>
    <w:rsid w:val="009705F7"/>
    <w:rsid w:val="00970927"/>
    <w:rsid w:val="009715A8"/>
    <w:rsid w:val="0097462B"/>
    <w:rsid w:val="00975320"/>
    <w:rsid w:val="009758FF"/>
    <w:rsid w:val="00975F54"/>
    <w:rsid w:val="0097623E"/>
    <w:rsid w:val="00976CD1"/>
    <w:rsid w:val="009806A9"/>
    <w:rsid w:val="009818CF"/>
    <w:rsid w:val="009821C7"/>
    <w:rsid w:val="009829EA"/>
    <w:rsid w:val="00985953"/>
    <w:rsid w:val="00985E8D"/>
    <w:rsid w:val="00985F4C"/>
    <w:rsid w:val="00986049"/>
    <w:rsid w:val="0098674B"/>
    <w:rsid w:val="009875DB"/>
    <w:rsid w:val="00987CC4"/>
    <w:rsid w:val="00987ED2"/>
    <w:rsid w:val="009906E5"/>
    <w:rsid w:val="009920C8"/>
    <w:rsid w:val="0099312F"/>
    <w:rsid w:val="009937DB"/>
    <w:rsid w:val="00993A0A"/>
    <w:rsid w:val="00994659"/>
    <w:rsid w:val="00994AA8"/>
    <w:rsid w:val="00994F6D"/>
    <w:rsid w:val="00995EEE"/>
    <w:rsid w:val="00995F64"/>
    <w:rsid w:val="00996576"/>
    <w:rsid w:val="00997D93"/>
    <w:rsid w:val="009A0027"/>
    <w:rsid w:val="009A16E0"/>
    <w:rsid w:val="009A1875"/>
    <w:rsid w:val="009A1A9B"/>
    <w:rsid w:val="009A5174"/>
    <w:rsid w:val="009A57BB"/>
    <w:rsid w:val="009A5E4E"/>
    <w:rsid w:val="009A5FAD"/>
    <w:rsid w:val="009B18D4"/>
    <w:rsid w:val="009B20A1"/>
    <w:rsid w:val="009B2D64"/>
    <w:rsid w:val="009B46F0"/>
    <w:rsid w:val="009B50A2"/>
    <w:rsid w:val="009B6E34"/>
    <w:rsid w:val="009B744D"/>
    <w:rsid w:val="009C14E0"/>
    <w:rsid w:val="009C2082"/>
    <w:rsid w:val="009C27AE"/>
    <w:rsid w:val="009C2F2F"/>
    <w:rsid w:val="009C2F60"/>
    <w:rsid w:val="009C6543"/>
    <w:rsid w:val="009C6DC6"/>
    <w:rsid w:val="009C7E24"/>
    <w:rsid w:val="009D0223"/>
    <w:rsid w:val="009D0E4A"/>
    <w:rsid w:val="009D16E2"/>
    <w:rsid w:val="009D304F"/>
    <w:rsid w:val="009D360C"/>
    <w:rsid w:val="009D7983"/>
    <w:rsid w:val="009D7FC0"/>
    <w:rsid w:val="009E0574"/>
    <w:rsid w:val="009E0B80"/>
    <w:rsid w:val="009E29B5"/>
    <w:rsid w:val="009E39C1"/>
    <w:rsid w:val="009E544A"/>
    <w:rsid w:val="009E7B0D"/>
    <w:rsid w:val="009E7B64"/>
    <w:rsid w:val="009F1772"/>
    <w:rsid w:val="009F28B5"/>
    <w:rsid w:val="009F2FCF"/>
    <w:rsid w:val="009F3BE7"/>
    <w:rsid w:val="009F590D"/>
    <w:rsid w:val="009F63C4"/>
    <w:rsid w:val="009F64F7"/>
    <w:rsid w:val="009F6582"/>
    <w:rsid w:val="009F7128"/>
    <w:rsid w:val="009F7630"/>
    <w:rsid w:val="009F76F1"/>
    <w:rsid w:val="00A00CD5"/>
    <w:rsid w:val="00A00E85"/>
    <w:rsid w:val="00A01368"/>
    <w:rsid w:val="00A025FB"/>
    <w:rsid w:val="00A034AC"/>
    <w:rsid w:val="00A03CA6"/>
    <w:rsid w:val="00A04453"/>
    <w:rsid w:val="00A06077"/>
    <w:rsid w:val="00A1032C"/>
    <w:rsid w:val="00A1130B"/>
    <w:rsid w:val="00A1204E"/>
    <w:rsid w:val="00A12249"/>
    <w:rsid w:val="00A14403"/>
    <w:rsid w:val="00A14A4C"/>
    <w:rsid w:val="00A14E76"/>
    <w:rsid w:val="00A17BC1"/>
    <w:rsid w:val="00A207C0"/>
    <w:rsid w:val="00A2129F"/>
    <w:rsid w:val="00A21D90"/>
    <w:rsid w:val="00A23788"/>
    <w:rsid w:val="00A23AAC"/>
    <w:rsid w:val="00A24184"/>
    <w:rsid w:val="00A24879"/>
    <w:rsid w:val="00A24A22"/>
    <w:rsid w:val="00A263F7"/>
    <w:rsid w:val="00A2654F"/>
    <w:rsid w:val="00A26B71"/>
    <w:rsid w:val="00A2779C"/>
    <w:rsid w:val="00A30096"/>
    <w:rsid w:val="00A332D1"/>
    <w:rsid w:val="00A3351C"/>
    <w:rsid w:val="00A33854"/>
    <w:rsid w:val="00A33DD5"/>
    <w:rsid w:val="00A34851"/>
    <w:rsid w:val="00A34E32"/>
    <w:rsid w:val="00A362F7"/>
    <w:rsid w:val="00A36652"/>
    <w:rsid w:val="00A36DBD"/>
    <w:rsid w:val="00A373D2"/>
    <w:rsid w:val="00A4016C"/>
    <w:rsid w:val="00A406AD"/>
    <w:rsid w:val="00A4097A"/>
    <w:rsid w:val="00A41CA9"/>
    <w:rsid w:val="00A436D6"/>
    <w:rsid w:val="00A43965"/>
    <w:rsid w:val="00A45050"/>
    <w:rsid w:val="00A4533F"/>
    <w:rsid w:val="00A45477"/>
    <w:rsid w:val="00A46D82"/>
    <w:rsid w:val="00A4728A"/>
    <w:rsid w:val="00A47295"/>
    <w:rsid w:val="00A478AA"/>
    <w:rsid w:val="00A509C0"/>
    <w:rsid w:val="00A51C7B"/>
    <w:rsid w:val="00A526CA"/>
    <w:rsid w:val="00A52BA7"/>
    <w:rsid w:val="00A54380"/>
    <w:rsid w:val="00A5470F"/>
    <w:rsid w:val="00A54DD8"/>
    <w:rsid w:val="00A553A7"/>
    <w:rsid w:val="00A565EC"/>
    <w:rsid w:val="00A568DD"/>
    <w:rsid w:val="00A57FF4"/>
    <w:rsid w:val="00A60F3B"/>
    <w:rsid w:val="00A61128"/>
    <w:rsid w:val="00A61F8C"/>
    <w:rsid w:val="00A62421"/>
    <w:rsid w:val="00A642BA"/>
    <w:rsid w:val="00A64BA7"/>
    <w:rsid w:val="00A64D34"/>
    <w:rsid w:val="00A64F4B"/>
    <w:rsid w:val="00A65440"/>
    <w:rsid w:val="00A66E67"/>
    <w:rsid w:val="00A71044"/>
    <w:rsid w:val="00A71AC2"/>
    <w:rsid w:val="00A72143"/>
    <w:rsid w:val="00A73F5E"/>
    <w:rsid w:val="00A74063"/>
    <w:rsid w:val="00A74D53"/>
    <w:rsid w:val="00A75756"/>
    <w:rsid w:val="00A75A99"/>
    <w:rsid w:val="00A77298"/>
    <w:rsid w:val="00A77A14"/>
    <w:rsid w:val="00A82C4E"/>
    <w:rsid w:val="00A8331D"/>
    <w:rsid w:val="00A84265"/>
    <w:rsid w:val="00A85B56"/>
    <w:rsid w:val="00A929CC"/>
    <w:rsid w:val="00A95B50"/>
    <w:rsid w:val="00A96B65"/>
    <w:rsid w:val="00A96E7E"/>
    <w:rsid w:val="00A973BF"/>
    <w:rsid w:val="00A97563"/>
    <w:rsid w:val="00A97BED"/>
    <w:rsid w:val="00AA05EE"/>
    <w:rsid w:val="00AA1949"/>
    <w:rsid w:val="00AA1A0F"/>
    <w:rsid w:val="00AA287B"/>
    <w:rsid w:val="00AA341C"/>
    <w:rsid w:val="00AA3750"/>
    <w:rsid w:val="00AA392A"/>
    <w:rsid w:val="00AA5060"/>
    <w:rsid w:val="00AA5CF5"/>
    <w:rsid w:val="00AA72A4"/>
    <w:rsid w:val="00AB04F3"/>
    <w:rsid w:val="00AB1812"/>
    <w:rsid w:val="00AB1EF5"/>
    <w:rsid w:val="00AB2494"/>
    <w:rsid w:val="00AB49CA"/>
    <w:rsid w:val="00AB59E6"/>
    <w:rsid w:val="00AB6EAA"/>
    <w:rsid w:val="00AC1EEC"/>
    <w:rsid w:val="00AC3B9D"/>
    <w:rsid w:val="00AC3FCD"/>
    <w:rsid w:val="00AC4962"/>
    <w:rsid w:val="00AC73B2"/>
    <w:rsid w:val="00AC7BDF"/>
    <w:rsid w:val="00AD18C7"/>
    <w:rsid w:val="00AD1E2B"/>
    <w:rsid w:val="00AD3F7F"/>
    <w:rsid w:val="00AD40B4"/>
    <w:rsid w:val="00AD53EB"/>
    <w:rsid w:val="00AD5F90"/>
    <w:rsid w:val="00AD6E5D"/>
    <w:rsid w:val="00AD6ED7"/>
    <w:rsid w:val="00AE06D1"/>
    <w:rsid w:val="00AE0B43"/>
    <w:rsid w:val="00AE13B8"/>
    <w:rsid w:val="00AE3A3E"/>
    <w:rsid w:val="00AE4E82"/>
    <w:rsid w:val="00AE61BD"/>
    <w:rsid w:val="00AE663E"/>
    <w:rsid w:val="00AE6811"/>
    <w:rsid w:val="00AE72C5"/>
    <w:rsid w:val="00AE7C89"/>
    <w:rsid w:val="00AF0FB7"/>
    <w:rsid w:val="00AF166B"/>
    <w:rsid w:val="00AF1915"/>
    <w:rsid w:val="00AF1EF1"/>
    <w:rsid w:val="00AF21C6"/>
    <w:rsid w:val="00AF2BB0"/>
    <w:rsid w:val="00AF3C14"/>
    <w:rsid w:val="00AF4A1C"/>
    <w:rsid w:val="00AF4EE0"/>
    <w:rsid w:val="00AF4F7C"/>
    <w:rsid w:val="00AF6AAF"/>
    <w:rsid w:val="00B01BF8"/>
    <w:rsid w:val="00B021AF"/>
    <w:rsid w:val="00B05302"/>
    <w:rsid w:val="00B0587A"/>
    <w:rsid w:val="00B05D05"/>
    <w:rsid w:val="00B068D5"/>
    <w:rsid w:val="00B07461"/>
    <w:rsid w:val="00B07A52"/>
    <w:rsid w:val="00B1207E"/>
    <w:rsid w:val="00B17489"/>
    <w:rsid w:val="00B174C4"/>
    <w:rsid w:val="00B2439B"/>
    <w:rsid w:val="00B249D7"/>
    <w:rsid w:val="00B24A98"/>
    <w:rsid w:val="00B253DC"/>
    <w:rsid w:val="00B266FD"/>
    <w:rsid w:val="00B26C15"/>
    <w:rsid w:val="00B26EC4"/>
    <w:rsid w:val="00B27417"/>
    <w:rsid w:val="00B30C0A"/>
    <w:rsid w:val="00B31CE1"/>
    <w:rsid w:val="00B31E5F"/>
    <w:rsid w:val="00B33875"/>
    <w:rsid w:val="00B3498A"/>
    <w:rsid w:val="00B36949"/>
    <w:rsid w:val="00B36BB4"/>
    <w:rsid w:val="00B36E10"/>
    <w:rsid w:val="00B40040"/>
    <w:rsid w:val="00B415C7"/>
    <w:rsid w:val="00B433AA"/>
    <w:rsid w:val="00B4797A"/>
    <w:rsid w:val="00B50C3D"/>
    <w:rsid w:val="00B52488"/>
    <w:rsid w:val="00B553AF"/>
    <w:rsid w:val="00B55B0E"/>
    <w:rsid w:val="00B55C46"/>
    <w:rsid w:val="00B568CB"/>
    <w:rsid w:val="00B572A9"/>
    <w:rsid w:val="00B6060D"/>
    <w:rsid w:val="00B60FC0"/>
    <w:rsid w:val="00B61398"/>
    <w:rsid w:val="00B615BB"/>
    <w:rsid w:val="00B61873"/>
    <w:rsid w:val="00B619D1"/>
    <w:rsid w:val="00B61E49"/>
    <w:rsid w:val="00B6251A"/>
    <w:rsid w:val="00B625F0"/>
    <w:rsid w:val="00B62B3C"/>
    <w:rsid w:val="00B63C80"/>
    <w:rsid w:val="00B63FC9"/>
    <w:rsid w:val="00B659F2"/>
    <w:rsid w:val="00B65EED"/>
    <w:rsid w:val="00B673A3"/>
    <w:rsid w:val="00B709AB"/>
    <w:rsid w:val="00B70E82"/>
    <w:rsid w:val="00B718DC"/>
    <w:rsid w:val="00B71DEC"/>
    <w:rsid w:val="00B726EF"/>
    <w:rsid w:val="00B72C11"/>
    <w:rsid w:val="00B73765"/>
    <w:rsid w:val="00B74543"/>
    <w:rsid w:val="00B764D2"/>
    <w:rsid w:val="00B80BB0"/>
    <w:rsid w:val="00B81B46"/>
    <w:rsid w:val="00B827F8"/>
    <w:rsid w:val="00B83569"/>
    <w:rsid w:val="00B8391D"/>
    <w:rsid w:val="00B83BB0"/>
    <w:rsid w:val="00B8412D"/>
    <w:rsid w:val="00B841E3"/>
    <w:rsid w:val="00B85934"/>
    <w:rsid w:val="00B85ADB"/>
    <w:rsid w:val="00B862D5"/>
    <w:rsid w:val="00B87276"/>
    <w:rsid w:val="00B873FC"/>
    <w:rsid w:val="00B9056A"/>
    <w:rsid w:val="00B91DE3"/>
    <w:rsid w:val="00B95000"/>
    <w:rsid w:val="00BA0523"/>
    <w:rsid w:val="00BA0832"/>
    <w:rsid w:val="00BA1040"/>
    <w:rsid w:val="00BA1096"/>
    <w:rsid w:val="00BA18F2"/>
    <w:rsid w:val="00BA2730"/>
    <w:rsid w:val="00BA338C"/>
    <w:rsid w:val="00BA3FD0"/>
    <w:rsid w:val="00BA7611"/>
    <w:rsid w:val="00BB0656"/>
    <w:rsid w:val="00BB0D30"/>
    <w:rsid w:val="00BB3F6F"/>
    <w:rsid w:val="00BB4EF1"/>
    <w:rsid w:val="00BB6085"/>
    <w:rsid w:val="00BB7FF3"/>
    <w:rsid w:val="00BC0AF0"/>
    <w:rsid w:val="00BC143E"/>
    <w:rsid w:val="00BC21C0"/>
    <w:rsid w:val="00BC642E"/>
    <w:rsid w:val="00BC65E6"/>
    <w:rsid w:val="00BC66CA"/>
    <w:rsid w:val="00BC79F7"/>
    <w:rsid w:val="00BD005F"/>
    <w:rsid w:val="00BD2E5D"/>
    <w:rsid w:val="00BD482D"/>
    <w:rsid w:val="00BD55A6"/>
    <w:rsid w:val="00BD5B6E"/>
    <w:rsid w:val="00BE095F"/>
    <w:rsid w:val="00BE426C"/>
    <w:rsid w:val="00BE5004"/>
    <w:rsid w:val="00BE5AC2"/>
    <w:rsid w:val="00BE5CB5"/>
    <w:rsid w:val="00BE5D79"/>
    <w:rsid w:val="00BE7171"/>
    <w:rsid w:val="00BE7970"/>
    <w:rsid w:val="00BF3A1D"/>
    <w:rsid w:val="00BF3BC9"/>
    <w:rsid w:val="00BF48D2"/>
    <w:rsid w:val="00BF5938"/>
    <w:rsid w:val="00BF6EFD"/>
    <w:rsid w:val="00BF70EC"/>
    <w:rsid w:val="00C012CC"/>
    <w:rsid w:val="00C04CE0"/>
    <w:rsid w:val="00C0568F"/>
    <w:rsid w:val="00C057BA"/>
    <w:rsid w:val="00C05D7C"/>
    <w:rsid w:val="00C0660C"/>
    <w:rsid w:val="00C06BB2"/>
    <w:rsid w:val="00C06D8E"/>
    <w:rsid w:val="00C0736B"/>
    <w:rsid w:val="00C07B63"/>
    <w:rsid w:val="00C102E0"/>
    <w:rsid w:val="00C12B4C"/>
    <w:rsid w:val="00C1312D"/>
    <w:rsid w:val="00C13203"/>
    <w:rsid w:val="00C13DE1"/>
    <w:rsid w:val="00C13E46"/>
    <w:rsid w:val="00C15F28"/>
    <w:rsid w:val="00C15FF9"/>
    <w:rsid w:val="00C16735"/>
    <w:rsid w:val="00C168F7"/>
    <w:rsid w:val="00C20730"/>
    <w:rsid w:val="00C2136B"/>
    <w:rsid w:val="00C21810"/>
    <w:rsid w:val="00C24600"/>
    <w:rsid w:val="00C25273"/>
    <w:rsid w:val="00C26B24"/>
    <w:rsid w:val="00C26F5D"/>
    <w:rsid w:val="00C27398"/>
    <w:rsid w:val="00C27EF0"/>
    <w:rsid w:val="00C30F51"/>
    <w:rsid w:val="00C318F4"/>
    <w:rsid w:val="00C31A40"/>
    <w:rsid w:val="00C321D4"/>
    <w:rsid w:val="00C32326"/>
    <w:rsid w:val="00C32C93"/>
    <w:rsid w:val="00C3397E"/>
    <w:rsid w:val="00C33AF4"/>
    <w:rsid w:val="00C3442F"/>
    <w:rsid w:val="00C353E3"/>
    <w:rsid w:val="00C3606A"/>
    <w:rsid w:val="00C36156"/>
    <w:rsid w:val="00C36FB6"/>
    <w:rsid w:val="00C379BD"/>
    <w:rsid w:val="00C37D65"/>
    <w:rsid w:val="00C40FD2"/>
    <w:rsid w:val="00C426F3"/>
    <w:rsid w:val="00C4320C"/>
    <w:rsid w:val="00C44828"/>
    <w:rsid w:val="00C44C6E"/>
    <w:rsid w:val="00C45588"/>
    <w:rsid w:val="00C51893"/>
    <w:rsid w:val="00C5256A"/>
    <w:rsid w:val="00C535A5"/>
    <w:rsid w:val="00C5432A"/>
    <w:rsid w:val="00C54C05"/>
    <w:rsid w:val="00C554E8"/>
    <w:rsid w:val="00C56AA6"/>
    <w:rsid w:val="00C57452"/>
    <w:rsid w:val="00C5762A"/>
    <w:rsid w:val="00C60274"/>
    <w:rsid w:val="00C61A4A"/>
    <w:rsid w:val="00C61DA7"/>
    <w:rsid w:val="00C64A32"/>
    <w:rsid w:val="00C669D0"/>
    <w:rsid w:val="00C70D4A"/>
    <w:rsid w:val="00C710BE"/>
    <w:rsid w:val="00C711F2"/>
    <w:rsid w:val="00C7120C"/>
    <w:rsid w:val="00C72384"/>
    <w:rsid w:val="00C73195"/>
    <w:rsid w:val="00C74457"/>
    <w:rsid w:val="00C74BCD"/>
    <w:rsid w:val="00C75C44"/>
    <w:rsid w:val="00C769F1"/>
    <w:rsid w:val="00C77596"/>
    <w:rsid w:val="00C77A39"/>
    <w:rsid w:val="00C8058F"/>
    <w:rsid w:val="00C80906"/>
    <w:rsid w:val="00C82697"/>
    <w:rsid w:val="00C82C26"/>
    <w:rsid w:val="00C837A0"/>
    <w:rsid w:val="00C84264"/>
    <w:rsid w:val="00C8495D"/>
    <w:rsid w:val="00C849CB"/>
    <w:rsid w:val="00C84C14"/>
    <w:rsid w:val="00C8596F"/>
    <w:rsid w:val="00C90752"/>
    <w:rsid w:val="00C9079F"/>
    <w:rsid w:val="00C91DCB"/>
    <w:rsid w:val="00C939DA"/>
    <w:rsid w:val="00C93B61"/>
    <w:rsid w:val="00C93EE3"/>
    <w:rsid w:val="00C9439F"/>
    <w:rsid w:val="00C943EB"/>
    <w:rsid w:val="00C94FA9"/>
    <w:rsid w:val="00C95A0E"/>
    <w:rsid w:val="00C95DD0"/>
    <w:rsid w:val="00C960FC"/>
    <w:rsid w:val="00C96C5E"/>
    <w:rsid w:val="00C97DF9"/>
    <w:rsid w:val="00CA0FD2"/>
    <w:rsid w:val="00CA16D0"/>
    <w:rsid w:val="00CA21CA"/>
    <w:rsid w:val="00CA248E"/>
    <w:rsid w:val="00CA3A4C"/>
    <w:rsid w:val="00CA68A6"/>
    <w:rsid w:val="00CA782A"/>
    <w:rsid w:val="00CA7FFA"/>
    <w:rsid w:val="00CB0E99"/>
    <w:rsid w:val="00CB18E1"/>
    <w:rsid w:val="00CB1F21"/>
    <w:rsid w:val="00CB2C9C"/>
    <w:rsid w:val="00CB403F"/>
    <w:rsid w:val="00CB56BB"/>
    <w:rsid w:val="00CB57C3"/>
    <w:rsid w:val="00CB6008"/>
    <w:rsid w:val="00CB6930"/>
    <w:rsid w:val="00CB6AEE"/>
    <w:rsid w:val="00CB6CA6"/>
    <w:rsid w:val="00CB7877"/>
    <w:rsid w:val="00CC2CB7"/>
    <w:rsid w:val="00CC4EC5"/>
    <w:rsid w:val="00CC73ED"/>
    <w:rsid w:val="00CD081F"/>
    <w:rsid w:val="00CD23F7"/>
    <w:rsid w:val="00CD29CF"/>
    <w:rsid w:val="00CD3059"/>
    <w:rsid w:val="00CD403B"/>
    <w:rsid w:val="00CD4EE7"/>
    <w:rsid w:val="00CD51A3"/>
    <w:rsid w:val="00CD568E"/>
    <w:rsid w:val="00CD5BC9"/>
    <w:rsid w:val="00CD5EDA"/>
    <w:rsid w:val="00CD5F14"/>
    <w:rsid w:val="00CD600D"/>
    <w:rsid w:val="00CE1550"/>
    <w:rsid w:val="00CE16B2"/>
    <w:rsid w:val="00CE17CF"/>
    <w:rsid w:val="00CE33AF"/>
    <w:rsid w:val="00CE3619"/>
    <w:rsid w:val="00CE4317"/>
    <w:rsid w:val="00CE542E"/>
    <w:rsid w:val="00CE724B"/>
    <w:rsid w:val="00CE74FB"/>
    <w:rsid w:val="00CE793B"/>
    <w:rsid w:val="00CF0F2D"/>
    <w:rsid w:val="00CF18AD"/>
    <w:rsid w:val="00CF4239"/>
    <w:rsid w:val="00CF4793"/>
    <w:rsid w:val="00CF4AEE"/>
    <w:rsid w:val="00CF63C9"/>
    <w:rsid w:val="00CF6683"/>
    <w:rsid w:val="00CF7009"/>
    <w:rsid w:val="00CF79DB"/>
    <w:rsid w:val="00CF7A25"/>
    <w:rsid w:val="00CF7E6E"/>
    <w:rsid w:val="00D00817"/>
    <w:rsid w:val="00D00840"/>
    <w:rsid w:val="00D00B88"/>
    <w:rsid w:val="00D01B8B"/>
    <w:rsid w:val="00D041B2"/>
    <w:rsid w:val="00D04B97"/>
    <w:rsid w:val="00D051DB"/>
    <w:rsid w:val="00D054C5"/>
    <w:rsid w:val="00D054DE"/>
    <w:rsid w:val="00D06875"/>
    <w:rsid w:val="00D06A28"/>
    <w:rsid w:val="00D11A9A"/>
    <w:rsid w:val="00D11D58"/>
    <w:rsid w:val="00D11EA5"/>
    <w:rsid w:val="00D1274D"/>
    <w:rsid w:val="00D138DF"/>
    <w:rsid w:val="00D1459D"/>
    <w:rsid w:val="00D14772"/>
    <w:rsid w:val="00D147E5"/>
    <w:rsid w:val="00D161AE"/>
    <w:rsid w:val="00D16E24"/>
    <w:rsid w:val="00D20841"/>
    <w:rsid w:val="00D20BB1"/>
    <w:rsid w:val="00D22DCF"/>
    <w:rsid w:val="00D23896"/>
    <w:rsid w:val="00D248F9"/>
    <w:rsid w:val="00D24E3B"/>
    <w:rsid w:val="00D256F0"/>
    <w:rsid w:val="00D27976"/>
    <w:rsid w:val="00D31433"/>
    <w:rsid w:val="00D31A23"/>
    <w:rsid w:val="00D31F17"/>
    <w:rsid w:val="00D32484"/>
    <w:rsid w:val="00D32ED6"/>
    <w:rsid w:val="00D336FF"/>
    <w:rsid w:val="00D33E61"/>
    <w:rsid w:val="00D3553B"/>
    <w:rsid w:val="00D35AC8"/>
    <w:rsid w:val="00D364D7"/>
    <w:rsid w:val="00D3735A"/>
    <w:rsid w:val="00D405E4"/>
    <w:rsid w:val="00D4062F"/>
    <w:rsid w:val="00D41091"/>
    <w:rsid w:val="00D425FC"/>
    <w:rsid w:val="00D44357"/>
    <w:rsid w:val="00D46207"/>
    <w:rsid w:val="00D46638"/>
    <w:rsid w:val="00D500AB"/>
    <w:rsid w:val="00D5126B"/>
    <w:rsid w:val="00D51754"/>
    <w:rsid w:val="00D518F8"/>
    <w:rsid w:val="00D520F9"/>
    <w:rsid w:val="00D52446"/>
    <w:rsid w:val="00D52451"/>
    <w:rsid w:val="00D5288E"/>
    <w:rsid w:val="00D528A9"/>
    <w:rsid w:val="00D53308"/>
    <w:rsid w:val="00D5467D"/>
    <w:rsid w:val="00D62687"/>
    <w:rsid w:val="00D6558A"/>
    <w:rsid w:val="00D66E66"/>
    <w:rsid w:val="00D67F5F"/>
    <w:rsid w:val="00D70BD3"/>
    <w:rsid w:val="00D728A3"/>
    <w:rsid w:val="00D73555"/>
    <w:rsid w:val="00D73DC9"/>
    <w:rsid w:val="00D73F93"/>
    <w:rsid w:val="00D74E59"/>
    <w:rsid w:val="00D75DE3"/>
    <w:rsid w:val="00D764AD"/>
    <w:rsid w:val="00D7704A"/>
    <w:rsid w:val="00D7771D"/>
    <w:rsid w:val="00D80FFA"/>
    <w:rsid w:val="00D82DA4"/>
    <w:rsid w:val="00D83B0B"/>
    <w:rsid w:val="00D8533E"/>
    <w:rsid w:val="00D8564D"/>
    <w:rsid w:val="00D85ED9"/>
    <w:rsid w:val="00D90211"/>
    <w:rsid w:val="00D904FF"/>
    <w:rsid w:val="00D90BE7"/>
    <w:rsid w:val="00D91149"/>
    <w:rsid w:val="00D93760"/>
    <w:rsid w:val="00D94D99"/>
    <w:rsid w:val="00D94DE9"/>
    <w:rsid w:val="00D95D07"/>
    <w:rsid w:val="00D95D4A"/>
    <w:rsid w:val="00DA116A"/>
    <w:rsid w:val="00DA21F7"/>
    <w:rsid w:val="00DA2311"/>
    <w:rsid w:val="00DA288D"/>
    <w:rsid w:val="00DA2997"/>
    <w:rsid w:val="00DA29DE"/>
    <w:rsid w:val="00DA30ED"/>
    <w:rsid w:val="00DA3B25"/>
    <w:rsid w:val="00DA41CB"/>
    <w:rsid w:val="00DA4AEB"/>
    <w:rsid w:val="00DA5651"/>
    <w:rsid w:val="00DA584C"/>
    <w:rsid w:val="00DA7F96"/>
    <w:rsid w:val="00DB0011"/>
    <w:rsid w:val="00DB1FE6"/>
    <w:rsid w:val="00DB20BC"/>
    <w:rsid w:val="00DB28F3"/>
    <w:rsid w:val="00DB2ED0"/>
    <w:rsid w:val="00DB302D"/>
    <w:rsid w:val="00DB58F7"/>
    <w:rsid w:val="00DB5A2E"/>
    <w:rsid w:val="00DB6E3C"/>
    <w:rsid w:val="00DB6EF7"/>
    <w:rsid w:val="00DB707E"/>
    <w:rsid w:val="00DB7645"/>
    <w:rsid w:val="00DC10E7"/>
    <w:rsid w:val="00DC1BD9"/>
    <w:rsid w:val="00DC2CD3"/>
    <w:rsid w:val="00DC430B"/>
    <w:rsid w:val="00DC5508"/>
    <w:rsid w:val="00DC561C"/>
    <w:rsid w:val="00DC6FB0"/>
    <w:rsid w:val="00DD08AE"/>
    <w:rsid w:val="00DD1DD8"/>
    <w:rsid w:val="00DD2395"/>
    <w:rsid w:val="00DD430F"/>
    <w:rsid w:val="00DD446A"/>
    <w:rsid w:val="00DD49C4"/>
    <w:rsid w:val="00DD4B63"/>
    <w:rsid w:val="00DD4F08"/>
    <w:rsid w:val="00DD51BF"/>
    <w:rsid w:val="00DD5EBF"/>
    <w:rsid w:val="00DD76E6"/>
    <w:rsid w:val="00DE0D70"/>
    <w:rsid w:val="00DE11B3"/>
    <w:rsid w:val="00DE121C"/>
    <w:rsid w:val="00DE1E8D"/>
    <w:rsid w:val="00DE2365"/>
    <w:rsid w:val="00DE371A"/>
    <w:rsid w:val="00DE4213"/>
    <w:rsid w:val="00DE43C6"/>
    <w:rsid w:val="00DE445B"/>
    <w:rsid w:val="00DE608B"/>
    <w:rsid w:val="00DE77C7"/>
    <w:rsid w:val="00DF0E09"/>
    <w:rsid w:val="00DF1FD4"/>
    <w:rsid w:val="00DF5F9F"/>
    <w:rsid w:val="00DF66AB"/>
    <w:rsid w:val="00DF67EF"/>
    <w:rsid w:val="00DF6866"/>
    <w:rsid w:val="00DF6CD8"/>
    <w:rsid w:val="00DF7775"/>
    <w:rsid w:val="00E0009C"/>
    <w:rsid w:val="00E05826"/>
    <w:rsid w:val="00E06184"/>
    <w:rsid w:val="00E06F75"/>
    <w:rsid w:val="00E11024"/>
    <w:rsid w:val="00E12586"/>
    <w:rsid w:val="00E131E2"/>
    <w:rsid w:val="00E1320F"/>
    <w:rsid w:val="00E14E57"/>
    <w:rsid w:val="00E16F57"/>
    <w:rsid w:val="00E20362"/>
    <w:rsid w:val="00E217A7"/>
    <w:rsid w:val="00E21A77"/>
    <w:rsid w:val="00E21AAE"/>
    <w:rsid w:val="00E21E02"/>
    <w:rsid w:val="00E227B4"/>
    <w:rsid w:val="00E23BB8"/>
    <w:rsid w:val="00E2449A"/>
    <w:rsid w:val="00E24B95"/>
    <w:rsid w:val="00E27591"/>
    <w:rsid w:val="00E3133F"/>
    <w:rsid w:val="00E327FC"/>
    <w:rsid w:val="00E34DC4"/>
    <w:rsid w:val="00E3557C"/>
    <w:rsid w:val="00E35C3C"/>
    <w:rsid w:val="00E4118B"/>
    <w:rsid w:val="00E42785"/>
    <w:rsid w:val="00E432D1"/>
    <w:rsid w:val="00E43C0E"/>
    <w:rsid w:val="00E43C57"/>
    <w:rsid w:val="00E4425F"/>
    <w:rsid w:val="00E453FC"/>
    <w:rsid w:val="00E455C0"/>
    <w:rsid w:val="00E45A63"/>
    <w:rsid w:val="00E505B4"/>
    <w:rsid w:val="00E509F0"/>
    <w:rsid w:val="00E50B03"/>
    <w:rsid w:val="00E51E5B"/>
    <w:rsid w:val="00E53095"/>
    <w:rsid w:val="00E53191"/>
    <w:rsid w:val="00E53A94"/>
    <w:rsid w:val="00E53AEF"/>
    <w:rsid w:val="00E54E80"/>
    <w:rsid w:val="00E55D98"/>
    <w:rsid w:val="00E56385"/>
    <w:rsid w:val="00E57C16"/>
    <w:rsid w:val="00E602FF"/>
    <w:rsid w:val="00E62FCA"/>
    <w:rsid w:val="00E6342E"/>
    <w:rsid w:val="00E65995"/>
    <w:rsid w:val="00E65C64"/>
    <w:rsid w:val="00E66455"/>
    <w:rsid w:val="00E71FEB"/>
    <w:rsid w:val="00E72239"/>
    <w:rsid w:val="00E72A31"/>
    <w:rsid w:val="00E72E36"/>
    <w:rsid w:val="00E736C5"/>
    <w:rsid w:val="00E74169"/>
    <w:rsid w:val="00E74562"/>
    <w:rsid w:val="00E8007A"/>
    <w:rsid w:val="00E80691"/>
    <w:rsid w:val="00E81881"/>
    <w:rsid w:val="00E81D3C"/>
    <w:rsid w:val="00E82878"/>
    <w:rsid w:val="00E83316"/>
    <w:rsid w:val="00E83C11"/>
    <w:rsid w:val="00E85220"/>
    <w:rsid w:val="00E86C90"/>
    <w:rsid w:val="00E87B84"/>
    <w:rsid w:val="00E900E6"/>
    <w:rsid w:val="00E91187"/>
    <w:rsid w:val="00E91225"/>
    <w:rsid w:val="00E92763"/>
    <w:rsid w:val="00E933A2"/>
    <w:rsid w:val="00E938C5"/>
    <w:rsid w:val="00E94379"/>
    <w:rsid w:val="00E9612A"/>
    <w:rsid w:val="00E96872"/>
    <w:rsid w:val="00EA0927"/>
    <w:rsid w:val="00EA137D"/>
    <w:rsid w:val="00EA1AFD"/>
    <w:rsid w:val="00EA2D75"/>
    <w:rsid w:val="00EA3D9A"/>
    <w:rsid w:val="00EA418A"/>
    <w:rsid w:val="00EA46A9"/>
    <w:rsid w:val="00EA47A2"/>
    <w:rsid w:val="00EA508A"/>
    <w:rsid w:val="00EA5230"/>
    <w:rsid w:val="00EA7684"/>
    <w:rsid w:val="00EB0431"/>
    <w:rsid w:val="00EB054A"/>
    <w:rsid w:val="00EB2A31"/>
    <w:rsid w:val="00EB74D3"/>
    <w:rsid w:val="00EB790A"/>
    <w:rsid w:val="00EB7CDA"/>
    <w:rsid w:val="00EC0AF9"/>
    <w:rsid w:val="00EC152B"/>
    <w:rsid w:val="00EC16C1"/>
    <w:rsid w:val="00EC2E8C"/>
    <w:rsid w:val="00EC367E"/>
    <w:rsid w:val="00EC3AFE"/>
    <w:rsid w:val="00EC4D2C"/>
    <w:rsid w:val="00EC5078"/>
    <w:rsid w:val="00EC535C"/>
    <w:rsid w:val="00EC5C7B"/>
    <w:rsid w:val="00EC7D6C"/>
    <w:rsid w:val="00ED1A6E"/>
    <w:rsid w:val="00ED248A"/>
    <w:rsid w:val="00ED36C2"/>
    <w:rsid w:val="00ED38ED"/>
    <w:rsid w:val="00ED39F7"/>
    <w:rsid w:val="00ED4FF4"/>
    <w:rsid w:val="00ED7487"/>
    <w:rsid w:val="00EE1788"/>
    <w:rsid w:val="00EE18FF"/>
    <w:rsid w:val="00EE1DB0"/>
    <w:rsid w:val="00EE1F16"/>
    <w:rsid w:val="00EE3FB6"/>
    <w:rsid w:val="00EE4039"/>
    <w:rsid w:val="00EE4A70"/>
    <w:rsid w:val="00EE59B7"/>
    <w:rsid w:val="00EE61D6"/>
    <w:rsid w:val="00EE77D9"/>
    <w:rsid w:val="00EE7BF3"/>
    <w:rsid w:val="00EF0764"/>
    <w:rsid w:val="00EF2738"/>
    <w:rsid w:val="00EF3144"/>
    <w:rsid w:val="00EF3BEF"/>
    <w:rsid w:val="00EF436F"/>
    <w:rsid w:val="00EF4DCC"/>
    <w:rsid w:val="00EF556C"/>
    <w:rsid w:val="00EF62EB"/>
    <w:rsid w:val="00EF7015"/>
    <w:rsid w:val="00EF7C73"/>
    <w:rsid w:val="00F01954"/>
    <w:rsid w:val="00F01CE4"/>
    <w:rsid w:val="00F03F00"/>
    <w:rsid w:val="00F0494D"/>
    <w:rsid w:val="00F04B8A"/>
    <w:rsid w:val="00F04D0A"/>
    <w:rsid w:val="00F04DA0"/>
    <w:rsid w:val="00F04FF1"/>
    <w:rsid w:val="00F05538"/>
    <w:rsid w:val="00F05549"/>
    <w:rsid w:val="00F0562B"/>
    <w:rsid w:val="00F05CD9"/>
    <w:rsid w:val="00F07BB7"/>
    <w:rsid w:val="00F1058B"/>
    <w:rsid w:val="00F11F07"/>
    <w:rsid w:val="00F139A6"/>
    <w:rsid w:val="00F150CF"/>
    <w:rsid w:val="00F20285"/>
    <w:rsid w:val="00F209C9"/>
    <w:rsid w:val="00F2233A"/>
    <w:rsid w:val="00F22BAC"/>
    <w:rsid w:val="00F24E99"/>
    <w:rsid w:val="00F260E2"/>
    <w:rsid w:val="00F267A0"/>
    <w:rsid w:val="00F26ECA"/>
    <w:rsid w:val="00F27FEC"/>
    <w:rsid w:val="00F3045F"/>
    <w:rsid w:val="00F30BCA"/>
    <w:rsid w:val="00F3121E"/>
    <w:rsid w:val="00F31230"/>
    <w:rsid w:val="00F317B2"/>
    <w:rsid w:val="00F334E5"/>
    <w:rsid w:val="00F34AC6"/>
    <w:rsid w:val="00F36019"/>
    <w:rsid w:val="00F36751"/>
    <w:rsid w:val="00F40024"/>
    <w:rsid w:val="00F4078E"/>
    <w:rsid w:val="00F409C1"/>
    <w:rsid w:val="00F4129D"/>
    <w:rsid w:val="00F43849"/>
    <w:rsid w:val="00F50F29"/>
    <w:rsid w:val="00F52969"/>
    <w:rsid w:val="00F54063"/>
    <w:rsid w:val="00F54626"/>
    <w:rsid w:val="00F54DB4"/>
    <w:rsid w:val="00F552B8"/>
    <w:rsid w:val="00F555EC"/>
    <w:rsid w:val="00F570FB"/>
    <w:rsid w:val="00F57D41"/>
    <w:rsid w:val="00F61FBD"/>
    <w:rsid w:val="00F6209E"/>
    <w:rsid w:val="00F6276D"/>
    <w:rsid w:val="00F6374D"/>
    <w:rsid w:val="00F65A5A"/>
    <w:rsid w:val="00F65F1E"/>
    <w:rsid w:val="00F66041"/>
    <w:rsid w:val="00F668D2"/>
    <w:rsid w:val="00F70D81"/>
    <w:rsid w:val="00F71F16"/>
    <w:rsid w:val="00F73B0F"/>
    <w:rsid w:val="00F73B9E"/>
    <w:rsid w:val="00F74F36"/>
    <w:rsid w:val="00F76529"/>
    <w:rsid w:val="00F76599"/>
    <w:rsid w:val="00F76691"/>
    <w:rsid w:val="00F7756F"/>
    <w:rsid w:val="00F81158"/>
    <w:rsid w:val="00F81D2C"/>
    <w:rsid w:val="00F832D2"/>
    <w:rsid w:val="00F833A1"/>
    <w:rsid w:val="00F839A3"/>
    <w:rsid w:val="00F8622D"/>
    <w:rsid w:val="00F86712"/>
    <w:rsid w:val="00F86867"/>
    <w:rsid w:val="00F90B40"/>
    <w:rsid w:val="00F92131"/>
    <w:rsid w:val="00F930E9"/>
    <w:rsid w:val="00F93B47"/>
    <w:rsid w:val="00F95240"/>
    <w:rsid w:val="00F9601E"/>
    <w:rsid w:val="00F96935"/>
    <w:rsid w:val="00F96F54"/>
    <w:rsid w:val="00F97345"/>
    <w:rsid w:val="00FA045C"/>
    <w:rsid w:val="00FA1A4D"/>
    <w:rsid w:val="00FA2FB6"/>
    <w:rsid w:val="00FA3570"/>
    <w:rsid w:val="00FA3899"/>
    <w:rsid w:val="00FA6A30"/>
    <w:rsid w:val="00FA7533"/>
    <w:rsid w:val="00FB081F"/>
    <w:rsid w:val="00FB097C"/>
    <w:rsid w:val="00FB1793"/>
    <w:rsid w:val="00FB19A2"/>
    <w:rsid w:val="00FB250E"/>
    <w:rsid w:val="00FB3C4B"/>
    <w:rsid w:val="00FB5410"/>
    <w:rsid w:val="00FB5D16"/>
    <w:rsid w:val="00FB6DB9"/>
    <w:rsid w:val="00FB6F39"/>
    <w:rsid w:val="00FB7DDE"/>
    <w:rsid w:val="00FC0278"/>
    <w:rsid w:val="00FC0EED"/>
    <w:rsid w:val="00FC367F"/>
    <w:rsid w:val="00FC3AA1"/>
    <w:rsid w:val="00FC65B9"/>
    <w:rsid w:val="00FC73C4"/>
    <w:rsid w:val="00FC7537"/>
    <w:rsid w:val="00FD0F34"/>
    <w:rsid w:val="00FD1BB0"/>
    <w:rsid w:val="00FD23CB"/>
    <w:rsid w:val="00FD4B1C"/>
    <w:rsid w:val="00FD4B4B"/>
    <w:rsid w:val="00FD4FF8"/>
    <w:rsid w:val="00FD50E3"/>
    <w:rsid w:val="00FD5CC4"/>
    <w:rsid w:val="00FD6081"/>
    <w:rsid w:val="00FE2A0D"/>
    <w:rsid w:val="00FE592B"/>
    <w:rsid w:val="00FE657A"/>
    <w:rsid w:val="00FF0371"/>
    <w:rsid w:val="00FF0393"/>
    <w:rsid w:val="00FF042F"/>
    <w:rsid w:val="00FF19FE"/>
    <w:rsid w:val="00FF2748"/>
    <w:rsid w:val="00FF2F4D"/>
    <w:rsid w:val="00FF48D1"/>
    <w:rsid w:val="012B6B7C"/>
    <w:rsid w:val="01603413"/>
    <w:rsid w:val="02380E83"/>
    <w:rsid w:val="02D97996"/>
    <w:rsid w:val="02E02D8D"/>
    <w:rsid w:val="02F53218"/>
    <w:rsid w:val="035937A7"/>
    <w:rsid w:val="0363544C"/>
    <w:rsid w:val="036A69C2"/>
    <w:rsid w:val="039316F0"/>
    <w:rsid w:val="03C70711"/>
    <w:rsid w:val="03E9653D"/>
    <w:rsid w:val="04020F2D"/>
    <w:rsid w:val="04080E64"/>
    <w:rsid w:val="043D6C25"/>
    <w:rsid w:val="04953876"/>
    <w:rsid w:val="049E269F"/>
    <w:rsid w:val="04B0389B"/>
    <w:rsid w:val="04B62533"/>
    <w:rsid w:val="04D97D80"/>
    <w:rsid w:val="04F05A45"/>
    <w:rsid w:val="05327558"/>
    <w:rsid w:val="054D3F39"/>
    <w:rsid w:val="058F66C8"/>
    <w:rsid w:val="05B44B64"/>
    <w:rsid w:val="05DD06BF"/>
    <w:rsid w:val="05F0491C"/>
    <w:rsid w:val="065254DC"/>
    <w:rsid w:val="0657780D"/>
    <w:rsid w:val="06A64F4C"/>
    <w:rsid w:val="06AE5BB8"/>
    <w:rsid w:val="06C5009C"/>
    <w:rsid w:val="06D2787A"/>
    <w:rsid w:val="072145DC"/>
    <w:rsid w:val="0751122F"/>
    <w:rsid w:val="07602F48"/>
    <w:rsid w:val="076745CB"/>
    <w:rsid w:val="077B6098"/>
    <w:rsid w:val="07DB0BC7"/>
    <w:rsid w:val="07FA6131"/>
    <w:rsid w:val="081300EC"/>
    <w:rsid w:val="08430D7E"/>
    <w:rsid w:val="087150EF"/>
    <w:rsid w:val="08972F2D"/>
    <w:rsid w:val="08D84D72"/>
    <w:rsid w:val="08DA16F7"/>
    <w:rsid w:val="08FD2E27"/>
    <w:rsid w:val="090E0B90"/>
    <w:rsid w:val="0922445A"/>
    <w:rsid w:val="094E3D69"/>
    <w:rsid w:val="096E7880"/>
    <w:rsid w:val="098A46BA"/>
    <w:rsid w:val="09B23D31"/>
    <w:rsid w:val="09CB59B5"/>
    <w:rsid w:val="09E5520B"/>
    <w:rsid w:val="09F3035E"/>
    <w:rsid w:val="0A3C70D8"/>
    <w:rsid w:val="0A892BC4"/>
    <w:rsid w:val="0A9F4195"/>
    <w:rsid w:val="0AA01CBB"/>
    <w:rsid w:val="0AAD4DF5"/>
    <w:rsid w:val="0ADD58AC"/>
    <w:rsid w:val="0AE8247C"/>
    <w:rsid w:val="0B077F8D"/>
    <w:rsid w:val="0B195CD6"/>
    <w:rsid w:val="0B3537F3"/>
    <w:rsid w:val="0B387B40"/>
    <w:rsid w:val="0B472137"/>
    <w:rsid w:val="0B956BAF"/>
    <w:rsid w:val="0BD453E1"/>
    <w:rsid w:val="0C6D61F3"/>
    <w:rsid w:val="0C7C4062"/>
    <w:rsid w:val="0C880C59"/>
    <w:rsid w:val="0CB101B0"/>
    <w:rsid w:val="0CB96E47"/>
    <w:rsid w:val="0D4E6EF9"/>
    <w:rsid w:val="0DA675E9"/>
    <w:rsid w:val="0DAD4D8C"/>
    <w:rsid w:val="0DBD57A2"/>
    <w:rsid w:val="0EEF3211"/>
    <w:rsid w:val="0F0C59C1"/>
    <w:rsid w:val="0F195BEF"/>
    <w:rsid w:val="0F1D66E0"/>
    <w:rsid w:val="0F786D63"/>
    <w:rsid w:val="0F7F3D38"/>
    <w:rsid w:val="0FD76D1C"/>
    <w:rsid w:val="10545EAB"/>
    <w:rsid w:val="10B71B0D"/>
    <w:rsid w:val="10B774FC"/>
    <w:rsid w:val="10D206F5"/>
    <w:rsid w:val="10DB1C9F"/>
    <w:rsid w:val="10DB57FB"/>
    <w:rsid w:val="10EA7382"/>
    <w:rsid w:val="11276C93"/>
    <w:rsid w:val="11AA38A6"/>
    <w:rsid w:val="11B33F50"/>
    <w:rsid w:val="11D30F31"/>
    <w:rsid w:val="11DF131B"/>
    <w:rsid w:val="12B547EE"/>
    <w:rsid w:val="12B551E3"/>
    <w:rsid w:val="130628D8"/>
    <w:rsid w:val="136A10B9"/>
    <w:rsid w:val="136A67D5"/>
    <w:rsid w:val="137E0524"/>
    <w:rsid w:val="13F56BD4"/>
    <w:rsid w:val="14101C60"/>
    <w:rsid w:val="141A663B"/>
    <w:rsid w:val="147E7447"/>
    <w:rsid w:val="14A91246"/>
    <w:rsid w:val="14D317E3"/>
    <w:rsid w:val="151C4634"/>
    <w:rsid w:val="152A6D51"/>
    <w:rsid w:val="15553DF7"/>
    <w:rsid w:val="1578574E"/>
    <w:rsid w:val="15997A33"/>
    <w:rsid w:val="15A9032D"/>
    <w:rsid w:val="15AC7766"/>
    <w:rsid w:val="15B65F44"/>
    <w:rsid w:val="15E96C0C"/>
    <w:rsid w:val="16331C36"/>
    <w:rsid w:val="16526560"/>
    <w:rsid w:val="165651C7"/>
    <w:rsid w:val="167725EE"/>
    <w:rsid w:val="16A67A37"/>
    <w:rsid w:val="16B246CE"/>
    <w:rsid w:val="16B33F5F"/>
    <w:rsid w:val="16C77664"/>
    <w:rsid w:val="16E321B2"/>
    <w:rsid w:val="17147CB9"/>
    <w:rsid w:val="171C53C0"/>
    <w:rsid w:val="175346D5"/>
    <w:rsid w:val="17680005"/>
    <w:rsid w:val="176E31A1"/>
    <w:rsid w:val="1783099B"/>
    <w:rsid w:val="178A1D29"/>
    <w:rsid w:val="17B92B0F"/>
    <w:rsid w:val="17C1647B"/>
    <w:rsid w:val="180C0990"/>
    <w:rsid w:val="182201B4"/>
    <w:rsid w:val="182932F0"/>
    <w:rsid w:val="18371EB1"/>
    <w:rsid w:val="183A374F"/>
    <w:rsid w:val="18AE7F67"/>
    <w:rsid w:val="18D374BD"/>
    <w:rsid w:val="191E6D2D"/>
    <w:rsid w:val="19410DAE"/>
    <w:rsid w:val="1949591C"/>
    <w:rsid w:val="19C05ED6"/>
    <w:rsid w:val="19D93C81"/>
    <w:rsid w:val="1A361806"/>
    <w:rsid w:val="1A642D06"/>
    <w:rsid w:val="1A727668"/>
    <w:rsid w:val="1A7828FB"/>
    <w:rsid w:val="1A890B66"/>
    <w:rsid w:val="1A9611D4"/>
    <w:rsid w:val="1AAE5D2F"/>
    <w:rsid w:val="1AE3258D"/>
    <w:rsid w:val="1AF537F7"/>
    <w:rsid w:val="1B170FAB"/>
    <w:rsid w:val="1B2B3731"/>
    <w:rsid w:val="1B34092A"/>
    <w:rsid w:val="1B3A2F9D"/>
    <w:rsid w:val="1B447FAC"/>
    <w:rsid w:val="1B7E1BA5"/>
    <w:rsid w:val="1BB13D28"/>
    <w:rsid w:val="1BB47375"/>
    <w:rsid w:val="1BBC26CD"/>
    <w:rsid w:val="1BC27E9A"/>
    <w:rsid w:val="1BC77E99"/>
    <w:rsid w:val="1BCB46BE"/>
    <w:rsid w:val="1BE85270"/>
    <w:rsid w:val="1BFD6F6E"/>
    <w:rsid w:val="1C0A51E7"/>
    <w:rsid w:val="1C1B5646"/>
    <w:rsid w:val="1C1F5136"/>
    <w:rsid w:val="1C462D38"/>
    <w:rsid w:val="1C513BF3"/>
    <w:rsid w:val="1C873BD4"/>
    <w:rsid w:val="1CB17C40"/>
    <w:rsid w:val="1CD154E4"/>
    <w:rsid w:val="1CF332BF"/>
    <w:rsid w:val="1CFC5477"/>
    <w:rsid w:val="1D1E1D0B"/>
    <w:rsid w:val="1D271DC8"/>
    <w:rsid w:val="1DBA328E"/>
    <w:rsid w:val="1DE63BCF"/>
    <w:rsid w:val="1E1F64AE"/>
    <w:rsid w:val="1E362BFA"/>
    <w:rsid w:val="1E5835A5"/>
    <w:rsid w:val="1E8A22CA"/>
    <w:rsid w:val="1EEB4B75"/>
    <w:rsid w:val="1F084A1A"/>
    <w:rsid w:val="1F641A50"/>
    <w:rsid w:val="1F672D9F"/>
    <w:rsid w:val="1FB77434"/>
    <w:rsid w:val="1FE3237C"/>
    <w:rsid w:val="1FE618BB"/>
    <w:rsid w:val="20344507"/>
    <w:rsid w:val="203647FC"/>
    <w:rsid w:val="203E7B55"/>
    <w:rsid w:val="20515ADA"/>
    <w:rsid w:val="208F1E39"/>
    <w:rsid w:val="208F6602"/>
    <w:rsid w:val="2099122F"/>
    <w:rsid w:val="210334DC"/>
    <w:rsid w:val="21924516"/>
    <w:rsid w:val="21AC5F65"/>
    <w:rsid w:val="22617B2B"/>
    <w:rsid w:val="22845F59"/>
    <w:rsid w:val="22D968BF"/>
    <w:rsid w:val="22F46D8D"/>
    <w:rsid w:val="230E7CB2"/>
    <w:rsid w:val="232E0A37"/>
    <w:rsid w:val="23653E9C"/>
    <w:rsid w:val="236553F7"/>
    <w:rsid w:val="236D3A6A"/>
    <w:rsid w:val="23902475"/>
    <w:rsid w:val="23DC56BB"/>
    <w:rsid w:val="23E17175"/>
    <w:rsid w:val="23F52BA2"/>
    <w:rsid w:val="24372624"/>
    <w:rsid w:val="24540228"/>
    <w:rsid w:val="247147CD"/>
    <w:rsid w:val="24724271"/>
    <w:rsid w:val="24743B45"/>
    <w:rsid w:val="249832E9"/>
    <w:rsid w:val="24E862E1"/>
    <w:rsid w:val="24E97601"/>
    <w:rsid w:val="24ED032F"/>
    <w:rsid w:val="24EF58C2"/>
    <w:rsid w:val="24F1163A"/>
    <w:rsid w:val="24F133E8"/>
    <w:rsid w:val="254C248B"/>
    <w:rsid w:val="25530A40"/>
    <w:rsid w:val="25871828"/>
    <w:rsid w:val="25990CAE"/>
    <w:rsid w:val="25C376E4"/>
    <w:rsid w:val="25FF52F0"/>
    <w:rsid w:val="26127E05"/>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8C67243"/>
    <w:rsid w:val="29064F88"/>
    <w:rsid w:val="2927387C"/>
    <w:rsid w:val="29817A1D"/>
    <w:rsid w:val="29C46646"/>
    <w:rsid w:val="2A224BD5"/>
    <w:rsid w:val="2A366D59"/>
    <w:rsid w:val="2A6D4CBC"/>
    <w:rsid w:val="2AA16D73"/>
    <w:rsid w:val="2ABC6246"/>
    <w:rsid w:val="2AC87340"/>
    <w:rsid w:val="2B2D4A4E"/>
    <w:rsid w:val="2B2F07C6"/>
    <w:rsid w:val="2B46402A"/>
    <w:rsid w:val="2BB025C0"/>
    <w:rsid w:val="2C35005E"/>
    <w:rsid w:val="2C6170A5"/>
    <w:rsid w:val="2C7F752B"/>
    <w:rsid w:val="2CA60ACC"/>
    <w:rsid w:val="2CD116A0"/>
    <w:rsid w:val="2CD21A78"/>
    <w:rsid w:val="2D23188C"/>
    <w:rsid w:val="2D48593B"/>
    <w:rsid w:val="2D556EEF"/>
    <w:rsid w:val="2D5C786C"/>
    <w:rsid w:val="2D674DB6"/>
    <w:rsid w:val="2D8927EC"/>
    <w:rsid w:val="2D8C0151"/>
    <w:rsid w:val="2DF80464"/>
    <w:rsid w:val="2E5542E7"/>
    <w:rsid w:val="2E6433AC"/>
    <w:rsid w:val="2E8250B1"/>
    <w:rsid w:val="2E885707"/>
    <w:rsid w:val="2EA97119"/>
    <w:rsid w:val="2EC562E3"/>
    <w:rsid w:val="2EEA5D40"/>
    <w:rsid w:val="2F050B7B"/>
    <w:rsid w:val="2F224FF9"/>
    <w:rsid w:val="2F261EE0"/>
    <w:rsid w:val="2F4800A8"/>
    <w:rsid w:val="2F917CA1"/>
    <w:rsid w:val="2FA42A1A"/>
    <w:rsid w:val="2FAF0127"/>
    <w:rsid w:val="300D1B27"/>
    <w:rsid w:val="300F0BC6"/>
    <w:rsid w:val="302D090A"/>
    <w:rsid w:val="30436D3A"/>
    <w:rsid w:val="30806308"/>
    <w:rsid w:val="308B2942"/>
    <w:rsid w:val="30DD6E91"/>
    <w:rsid w:val="30E713A2"/>
    <w:rsid w:val="3132469C"/>
    <w:rsid w:val="31BC4F7C"/>
    <w:rsid w:val="31C27461"/>
    <w:rsid w:val="31ED3189"/>
    <w:rsid w:val="31EE13DB"/>
    <w:rsid w:val="31F42769"/>
    <w:rsid w:val="32012CE4"/>
    <w:rsid w:val="320A7CD9"/>
    <w:rsid w:val="320D56CD"/>
    <w:rsid w:val="32436903"/>
    <w:rsid w:val="32562ADC"/>
    <w:rsid w:val="3266176E"/>
    <w:rsid w:val="329C0DCE"/>
    <w:rsid w:val="32C52503"/>
    <w:rsid w:val="32E003C1"/>
    <w:rsid w:val="334023B8"/>
    <w:rsid w:val="337A1A7B"/>
    <w:rsid w:val="338C01AC"/>
    <w:rsid w:val="33AD497E"/>
    <w:rsid w:val="33ED56C2"/>
    <w:rsid w:val="33F20F2A"/>
    <w:rsid w:val="33F619B6"/>
    <w:rsid w:val="34192013"/>
    <w:rsid w:val="341B222F"/>
    <w:rsid w:val="342A2472"/>
    <w:rsid w:val="34360E17"/>
    <w:rsid w:val="346E05B1"/>
    <w:rsid w:val="34D67F04"/>
    <w:rsid w:val="351B7857"/>
    <w:rsid w:val="3535727E"/>
    <w:rsid w:val="354C01C6"/>
    <w:rsid w:val="35563D07"/>
    <w:rsid w:val="356B276A"/>
    <w:rsid w:val="35960D13"/>
    <w:rsid w:val="35A11BE9"/>
    <w:rsid w:val="35A85D44"/>
    <w:rsid w:val="361F2128"/>
    <w:rsid w:val="36451C34"/>
    <w:rsid w:val="364838BE"/>
    <w:rsid w:val="365437D6"/>
    <w:rsid w:val="36550CBE"/>
    <w:rsid w:val="3662256D"/>
    <w:rsid w:val="366D0916"/>
    <w:rsid w:val="36806379"/>
    <w:rsid w:val="36914759"/>
    <w:rsid w:val="36A02F73"/>
    <w:rsid w:val="36AF0F99"/>
    <w:rsid w:val="36B07108"/>
    <w:rsid w:val="37193A14"/>
    <w:rsid w:val="3733163E"/>
    <w:rsid w:val="376C68FE"/>
    <w:rsid w:val="377C60AD"/>
    <w:rsid w:val="37964539"/>
    <w:rsid w:val="379C3687"/>
    <w:rsid w:val="37A2637D"/>
    <w:rsid w:val="37B21ABE"/>
    <w:rsid w:val="37D23572"/>
    <w:rsid w:val="37DE3C9F"/>
    <w:rsid w:val="38230246"/>
    <w:rsid w:val="3843318E"/>
    <w:rsid w:val="3870241E"/>
    <w:rsid w:val="38995E18"/>
    <w:rsid w:val="38A50319"/>
    <w:rsid w:val="38A65E3F"/>
    <w:rsid w:val="38D51DDC"/>
    <w:rsid w:val="391060DB"/>
    <w:rsid w:val="39736669"/>
    <w:rsid w:val="399F745E"/>
    <w:rsid w:val="39A12E5A"/>
    <w:rsid w:val="39B12CEE"/>
    <w:rsid w:val="39C12F31"/>
    <w:rsid w:val="39CD07E7"/>
    <w:rsid w:val="3A5B3385"/>
    <w:rsid w:val="3A685885"/>
    <w:rsid w:val="3AA50AA5"/>
    <w:rsid w:val="3AFE1F63"/>
    <w:rsid w:val="3B384B2A"/>
    <w:rsid w:val="3B4756B8"/>
    <w:rsid w:val="3B6463E3"/>
    <w:rsid w:val="3B892174"/>
    <w:rsid w:val="3C5E53AF"/>
    <w:rsid w:val="3C836BC3"/>
    <w:rsid w:val="3C8D7774"/>
    <w:rsid w:val="3C9A2914"/>
    <w:rsid w:val="3CEC1456"/>
    <w:rsid w:val="3D687B67"/>
    <w:rsid w:val="3DA05553"/>
    <w:rsid w:val="3DAD7CE2"/>
    <w:rsid w:val="3DB72FC9"/>
    <w:rsid w:val="3DF213AE"/>
    <w:rsid w:val="3E09134A"/>
    <w:rsid w:val="3E0E6961"/>
    <w:rsid w:val="3E265A58"/>
    <w:rsid w:val="3E347550"/>
    <w:rsid w:val="3E757CDB"/>
    <w:rsid w:val="3E7964D0"/>
    <w:rsid w:val="3E841BBD"/>
    <w:rsid w:val="3E853C97"/>
    <w:rsid w:val="3EBE3EE3"/>
    <w:rsid w:val="3EDF3E59"/>
    <w:rsid w:val="3F432EEB"/>
    <w:rsid w:val="3F95240E"/>
    <w:rsid w:val="3FF43934"/>
    <w:rsid w:val="3FF658FE"/>
    <w:rsid w:val="406E1939"/>
    <w:rsid w:val="40750F19"/>
    <w:rsid w:val="40E02836"/>
    <w:rsid w:val="411F178B"/>
    <w:rsid w:val="414032D5"/>
    <w:rsid w:val="41720FB5"/>
    <w:rsid w:val="4185518C"/>
    <w:rsid w:val="41EA575B"/>
    <w:rsid w:val="41EE1F31"/>
    <w:rsid w:val="420E5181"/>
    <w:rsid w:val="42235B74"/>
    <w:rsid w:val="4235270E"/>
    <w:rsid w:val="42531447"/>
    <w:rsid w:val="427D4AC9"/>
    <w:rsid w:val="43370708"/>
    <w:rsid w:val="4375350A"/>
    <w:rsid w:val="43A24165"/>
    <w:rsid w:val="43C53F65"/>
    <w:rsid w:val="43D566E0"/>
    <w:rsid w:val="43E65767"/>
    <w:rsid w:val="43F16B09"/>
    <w:rsid w:val="444F55DD"/>
    <w:rsid w:val="445B0426"/>
    <w:rsid w:val="44637510"/>
    <w:rsid w:val="446E0B1C"/>
    <w:rsid w:val="449E4CDF"/>
    <w:rsid w:val="44A86E81"/>
    <w:rsid w:val="44AE66DE"/>
    <w:rsid w:val="44B042CE"/>
    <w:rsid w:val="454B049A"/>
    <w:rsid w:val="45692AE0"/>
    <w:rsid w:val="45C85BE6"/>
    <w:rsid w:val="45D3296A"/>
    <w:rsid w:val="45DB369B"/>
    <w:rsid w:val="46251AE9"/>
    <w:rsid w:val="46514A71"/>
    <w:rsid w:val="465D66D7"/>
    <w:rsid w:val="4678706D"/>
    <w:rsid w:val="46C44060"/>
    <w:rsid w:val="46E6047B"/>
    <w:rsid w:val="46FC7C9E"/>
    <w:rsid w:val="47190850"/>
    <w:rsid w:val="474E7CBF"/>
    <w:rsid w:val="47A8002A"/>
    <w:rsid w:val="47CA56A6"/>
    <w:rsid w:val="47F8776E"/>
    <w:rsid w:val="48254FD3"/>
    <w:rsid w:val="48345216"/>
    <w:rsid w:val="483671E0"/>
    <w:rsid w:val="48D36BED"/>
    <w:rsid w:val="490177EE"/>
    <w:rsid w:val="4903092C"/>
    <w:rsid w:val="49276B29"/>
    <w:rsid w:val="493F30F0"/>
    <w:rsid w:val="4944744E"/>
    <w:rsid w:val="49584F34"/>
    <w:rsid w:val="4976076E"/>
    <w:rsid w:val="49876F31"/>
    <w:rsid w:val="499826D8"/>
    <w:rsid w:val="49D81328"/>
    <w:rsid w:val="4A853A58"/>
    <w:rsid w:val="4A8A736F"/>
    <w:rsid w:val="4ABA607F"/>
    <w:rsid w:val="4AC9433B"/>
    <w:rsid w:val="4AF65664"/>
    <w:rsid w:val="4B007631"/>
    <w:rsid w:val="4B0233A9"/>
    <w:rsid w:val="4B4B62F0"/>
    <w:rsid w:val="4B5A592C"/>
    <w:rsid w:val="4B640777"/>
    <w:rsid w:val="4B6C4CC7"/>
    <w:rsid w:val="4BA31DE0"/>
    <w:rsid w:val="4BF74F7F"/>
    <w:rsid w:val="4BF90C50"/>
    <w:rsid w:val="4C617011"/>
    <w:rsid w:val="4CA741D6"/>
    <w:rsid w:val="4CB42DC9"/>
    <w:rsid w:val="4CEB4E86"/>
    <w:rsid w:val="4CEC60BF"/>
    <w:rsid w:val="4CED7525"/>
    <w:rsid w:val="4D52686A"/>
    <w:rsid w:val="4DB50BA7"/>
    <w:rsid w:val="4DEB45C9"/>
    <w:rsid w:val="4E2027E8"/>
    <w:rsid w:val="4E4515AF"/>
    <w:rsid w:val="4E8011B5"/>
    <w:rsid w:val="4E9702AC"/>
    <w:rsid w:val="4EDE25CE"/>
    <w:rsid w:val="4EEE69FE"/>
    <w:rsid w:val="4EEF00E8"/>
    <w:rsid w:val="4F0A0A7E"/>
    <w:rsid w:val="4F3D60E1"/>
    <w:rsid w:val="4F713A65"/>
    <w:rsid w:val="4FC5766A"/>
    <w:rsid w:val="4FDA2B47"/>
    <w:rsid w:val="4FDA303C"/>
    <w:rsid w:val="4FF77255"/>
    <w:rsid w:val="4FF845BE"/>
    <w:rsid w:val="4FF86AB9"/>
    <w:rsid w:val="50463D38"/>
    <w:rsid w:val="504B7972"/>
    <w:rsid w:val="50854E71"/>
    <w:rsid w:val="50892D01"/>
    <w:rsid w:val="50AC0F2E"/>
    <w:rsid w:val="50D83683"/>
    <w:rsid w:val="510170AF"/>
    <w:rsid w:val="51642518"/>
    <w:rsid w:val="516B614C"/>
    <w:rsid w:val="517B3EB5"/>
    <w:rsid w:val="51901536"/>
    <w:rsid w:val="51907961"/>
    <w:rsid w:val="51B55619"/>
    <w:rsid w:val="51DA3363"/>
    <w:rsid w:val="51F06651"/>
    <w:rsid w:val="51F23F87"/>
    <w:rsid w:val="528019E2"/>
    <w:rsid w:val="53193986"/>
    <w:rsid w:val="535C5107"/>
    <w:rsid w:val="53735D8F"/>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D15107"/>
    <w:rsid w:val="55F26618"/>
    <w:rsid w:val="56053B6E"/>
    <w:rsid w:val="563D5BDD"/>
    <w:rsid w:val="568A6A0D"/>
    <w:rsid w:val="56B73829"/>
    <w:rsid w:val="56DD0A24"/>
    <w:rsid w:val="56E73829"/>
    <w:rsid w:val="571921A6"/>
    <w:rsid w:val="57574A7D"/>
    <w:rsid w:val="57687170"/>
    <w:rsid w:val="57D8796C"/>
    <w:rsid w:val="57DF032C"/>
    <w:rsid w:val="57EE7818"/>
    <w:rsid w:val="58893C5B"/>
    <w:rsid w:val="58B872AC"/>
    <w:rsid w:val="592D3CE7"/>
    <w:rsid w:val="597015B0"/>
    <w:rsid w:val="597B2CA5"/>
    <w:rsid w:val="59B44408"/>
    <w:rsid w:val="59B5105D"/>
    <w:rsid w:val="59C12681"/>
    <w:rsid w:val="59C960F9"/>
    <w:rsid w:val="5A4234FD"/>
    <w:rsid w:val="5A822477"/>
    <w:rsid w:val="5A9B2ED2"/>
    <w:rsid w:val="5B2F6D4D"/>
    <w:rsid w:val="5B6836FC"/>
    <w:rsid w:val="5BA24DDA"/>
    <w:rsid w:val="5BBB382C"/>
    <w:rsid w:val="5BD82630"/>
    <w:rsid w:val="5BDD6DC5"/>
    <w:rsid w:val="5BE83126"/>
    <w:rsid w:val="5C2B7DD8"/>
    <w:rsid w:val="5C3C41E3"/>
    <w:rsid w:val="5C515F3F"/>
    <w:rsid w:val="5C9C39E6"/>
    <w:rsid w:val="5D0143E7"/>
    <w:rsid w:val="5D0C13A8"/>
    <w:rsid w:val="5D2D2894"/>
    <w:rsid w:val="5DAE3A4B"/>
    <w:rsid w:val="5DFD617B"/>
    <w:rsid w:val="5E1A67C6"/>
    <w:rsid w:val="5E463C9B"/>
    <w:rsid w:val="5E4C2E61"/>
    <w:rsid w:val="5E52091F"/>
    <w:rsid w:val="5E6737F7"/>
    <w:rsid w:val="5E6960E0"/>
    <w:rsid w:val="5E7E6D47"/>
    <w:rsid w:val="5E8545C5"/>
    <w:rsid w:val="5E995D4C"/>
    <w:rsid w:val="5E9E63AF"/>
    <w:rsid w:val="5F033E46"/>
    <w:rsid w:val="5F0E0117"/>
    <w:rsid w:val="5F573144"/>
    <w:rsid w:val="5F5F37A8"/>
    <w:rsid w:val="5FAD0537"/>
    <w:rsid w:val="5FAF6327"/>
    <w:rsid w:val="5FBE67AD"/>
    <w:rsid w:val="5FEB336F"/>
    <w:rsid w:val="602A6F48"/>
    <w:rsid w:val="604F09E7"/>
    <w:rsid w:val="605F184E"/>
    <w:rsid w:val="60932FCA"/>
    <w:rsid w:val="60D86C2E"/>
    <w:rsid w:val="60DD209F"/>
    <w:rsid w:val="60E23609"/>
    <w:rsid w:val="60FB291D"/>
    <w:rsid w:val="611D6D37"/>
    <w:rsid w:val="61325F34"/>
    <w:rsid w:val="614222FA"/>
    <w:rsid w:val="619743F4"/>
    <w:rsid w:val="61A53CD3"/>
    <w:rsid w:val="61A80C33"/>
    <w:rsid w:val="622B7B81"/>
    <w:rsid w:val="62347E94"/>
    <w:rsid w:val="6239213F"/>
    <w:rsid w:val="623954AB"/>
    <w:rsid w:val="62407F88"/>
    <w:rsid w:val="62B40FD5"/>
    <w:rsid w:val="62EE098B"/>
    <w:rsid w:val="62F13FD7"/>
    <w:rsid w:val="631E49BF"/>
    <w:rsid w:val="6322756F"/>
    <w:rsid w:val="632B705F"/>
    <w:rsid w:val="63585E05"/>
    <w:rsid w:val="63BA261B"/>
    <w:rsid w:val="64030466"/>
    <w:rsid w:val="642301C1"/>
    <w:rsid w:val="644D348F"/>
    <w:rsid w:val="6464757D"/>
    <w:rsid w:val="6465512C"/>
    <w:rsid w:val="64727006"/>
    <w:rsid w:val="6495478A"/>
    <w:rsid w:val="64A14BE6"/>
    <w:rsid w:val="64A5151D"/>
    <w:rsid w:val="64C00105"/>
    <w:rsid w:val="64E536C8"/>
    <w:rsid w:val="650E0E71"/>
    <w:rsid w:val="65243AF4"/>
    <w:rsid w:val="655F0E56"/>
    <w:rsid w:val="658000DA"/>
    <w:rsid w:val="65A32C1F"/>
    <w:rsid w:val="65A73073"/>
    <w:rsid w:val="65B95E42"/>
    <w:rsid w:val="65FF25D9"/>
    <w:rsid w:val="662B13FF"/>
    <w:rsid w:val="6638682E"/>
    <w:rsid w:val="663A3EE7"/>
    <w:rsid w:val="66501EBE"/>
    <w:rsid w:val="66707909"/>
    <w:rsid w:val="6686630A"/>
    <w:rsid w:val="66B40374"/>
    <w:rsid w:val="66F67E0E"/>
    <w:rsid w:val="671D7A30"/>
    <w:rsid w:val="67283D40"/>
    <w:rsid w:val="67297ED0"/>
    <w:rsid w:val="67717495"/>
    <w:rsid w:val="67AB6E4B"/>
    <w:rsid w:val="682A7F13"/>
    <w:rsid w:val="68956111"/>
    <w:rsid w:val="68B8212F"/>
    <w:rsid w:val="68BF2482"/>
    <w:rsid w:val="68C03179"/>
    <w:rsid w:val="68FD198B"/>
    <w:rsid w:val="6953779A"/>
    <w:rsid w:val="696F2439"/>
    <w:rsid w:val="699B2D23"/>
    <w:rsid w:val="69A65094"/>
    <w:rsid w:val="69B10168"/>
    <w:rsid w:val="6A1B7C59"/>
    <w:rsid w:val="6A5A24AA"/>
    <w:rsid w:val="6A667059"/>
    <w:rsid w:val="6ABF27F8"/>
    <w:rsid w:val="6AD25197"/>
    <w:rsid w:val="6B2D01F4"/>
    <w:rsid w:val="6B9F6CC6"/>
    <w:rsid w:val="6BB630F4"/>
    <w:rsid w:val="6BCD083B"/>
    <w:rsid w:val="6BDC57CB"/>
    <w:rsid w:val="6BFA214F"/>
    <w:rsid w:val="6C450EF0"/>
    <w:rsid w:val="6C6C6741"/>
    <w:rsid w:val="6C7478F0"/>
    <w:rsid w:val="6CBF4C0F"/>
    <w:rsid w:val="6CD01102"/>
    <w:rsid w:val="6CD17894"/>
    <w:rsid w:val="6CEA21C3"/>
    <w:rsid w:val="6D106E63"/>
    <w:rsid w:val="6D30203B"/>
    <w:rsid w:val="6D3C6797"/>
    <w:rsid w:val="6D401DE3"/>
    <w:rsid w:val="6D475FDD"/>
    <w:rsid w:val="6DBC51E2"/>
    <w:rsid w:val="6DE11704"/>
    <w:rsid w:val="6E1B717E"/>
    <w:rsid w:val="6E810905"/>
    <w:rsid w:val="6EAE29D0"/>
    <w:rsid w:val="6EBD1212"/>
    <w:rsid w:val="6EEE3AC1"/>
    <w:rsid w:val="6F7F1A62"/>
    <w:rsid w:val="6FA97229"/>
    <w:rsid w:val="6FB95E7D"/>
    <w:rsid w:val="6FE258A8"/>
    <w:rsid w:val="6FE934AB"/>
    <w:rsid w:val="6FED5D83"/>
    <w:rsid w:val="6FF46638"/>
    <w:rsid w:val="7012558D"/>
    <w:rsid w:val="702A0B29"/>
    <w:rsid w:val="702F1FD1"/>
    <w:rsid w:val="703564D1"/>
    <w:rsid w:val="70BB2636"/>
    <w:rsid w:val="70BC66FD"/>
    <w:rsid w:val="710D46D2"/>
    <w:rsid w:val="7115014E"/>
    <w:rsid w:val="716562BC"/>
    <w:rsid w:val="717B736E"/>
    <w:rsid w:val="717D31C3"/>
    <w:rsid w:val="71990602"/>
    <w:rsid w:val="71993C89"/>
    <w:rsid w:val="72017D09"/>
    <w:rsid w:val="720E29F2"/>
    <w:rsid w:val="725620A9"/>
    <w:rsid w:val="728F22A8"/>
    <w:rsid w:val="72B56D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A72ED3"/>
    <w:rsid w:val="76C467CF"/>
    <w:rsid w:val="76EB0CB5"/>
    <w:rsid w:val="772269FE"/>
    <w:rsid w:val="774D3385"/>
    <w:rsid w:val="776B5CAF"/>
    <w:rsid w:val="77AF903F"/>
    <w:rsid w:val="77D57D32"/>
    <w:rsid w:val="77E872FF"/>
    <w:rsid w:val="77F02797"/>
    <w:rsid w:val="78704EAC"/>
    <w:rsid w:val="78A21BA4"/>
    <w:rsid w:val="78A24874"/>
    <w:rsid w:val="78AA43A3"/>
    <w:rsid w:val="790F19B1"/>
    <w:rsid w:val="794C38BE"/>
    <w:rsid w:val="79524BE5"/>
    <w:rsid w:val="79711576"/>
    <w:rsid w:val="797D2DDC"/>
    <w:rsid w:val="79A8399D"/>
    <w:rsid w:val="79CA635D"/>
    <w:rsid w:val="79FA0EE1"/>
    <w:rsid w:val="7A396538"/>
    <w:rsid w:val="7A710F52"/>
    <w:rsid w:val="7A8C48BA"/>
    <w:rsid w:val="7AAD1C06"/>
    <w:rsid w:val="7AB75A4A"/>
    <w:rsid w:val="7AF43B3F"/>
    <w:rsid w:val="7AFC4E4B"/>
    <w:rsid w:val="7B0B43D0"/>
    <w:rsid w:val="7B0E5FA5"/>
    <w:rsid w:val="7B1B5D88"/>
    <w:rsid w:val="7B3311D9"/>
    <w:rsid w:val="7B86393A"/>
    <w:rsid w:val="7B9560A2"/>
    <w:rsid w:val="7B9F985B"/>
    <w:rsid w:val="7BC10593"/>
    <w:rsid w:val="7BE1344A"/>
    <w:rsid w:val="7C183F2B"/>
    <w:rsid w:val="7C237204"/>
    <w:rsid w:val="7C32323F"/>
    <w:rsid w:val="7C350F81"/>
    <w:rsid w:val="7C5E742B"/>
    <w:rsid w:val="7C7E0732"/>
    <w:rsid w:val="7C9149ED"/>
    <w:rsid w:val="7CC01849"/>
    <w:rsid w:val="7D2C4DA0"/>
    <w:rsid w:val="7D344EA2"/>
    <w:rsid w:val="7D3C46D8"/>
    <w:rsid w:val="7D99109C"/>
    <w:rsid w:val="7DA77C5D"/>
    <w:rsid w:val="7DC165FC"/>
    <w:rsid w:val="7E374B3D"/>
    <w:rsid w:val="7E691F7C"/>
    <w:rsid w:val="7E7A243E"/>
    <w:rsid w:val="7E857F9E"/>
    <w:rsid w:val="7EDE2665"/>
    <w:rsid w:val="7F2502C4"/>
    <w:rsid w:val="7F431AE6"/>
    <w:rsid w:val="7F664E77"/>
    <w:rsid w:val="7F6B7069"/>
    <w:rsid w:val="7F6C75AE"/>
    <w:rsid w:val="7FA25453"/>
    <w:rsid w:val="7FC91777"/>
    <w:rsid w:val="7FE74795"/>
    <w:rsid w:val="7FFB2ED4"/>
    <w:rsid w:val="BFBBB2E1"/>
    <w:rsid w:val="D97C079F"/>
    <w:rsid w:val="DB76B258"/>
    <w:rsid w:val="DFFBE395"/>
    <w:rsid w:val="EC78D301"/>
    <w:rsid w:val="F5FBEA20"/>
    <w:rsid w:val="F797628A"/>
    <w:rsid w:val="F962FB6C"/>
    <w:rsid w:val="FB5A4047"/>
    <w:rsid w:val="FCAE80D6"/>
    <w:rsid w:val="FF6F7E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99"/>
    <w:pPr>
      <w:ind w:firstLine="420" w:firstLineChars="200"/>
    </w:pPr>
  </w:style>
  <w:style w:type="paragraph" w:styleId="9">
    <w:name w:val="annotation text"/>
    <w:basedOn w:val="1"/>
    <w:link w:val="94"/>
    <w:qFormat/>
    <w:uiPriority w:val="0"/>
  </w:style>
  <w:style w:type="paragraph" w:styleId="10">
    <w:name w:val="Body Text"/>
    <w:basedOn w:val="1"/>
    <w:qFormat/>
    <w:uiPriority w:val="0"/>
    <w:pPr>
      <w:spacing w:after="120"/>
    </w:p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qFormat/>
    <w:uiPriority w:val="39"/>
    <w:pPr>
      <w:ind w:left="840" w:leftChars="400"/>
    </w:pPr>
  </w:style>
  <w:style w:type="paragraph" w:styleId="13">
    <w:name w:val="Plain Text"/>
    <w:basedOn w:val="1"/>
    <w:qFormat/>
    <w:uiPriority w:val="0"/>
    <w:rPr>
      <w:rFonts w:hAnsi="Courier New" w:cs="Courier New"/>
      <w:szCs w:val="21"/>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Balloon Text"/>
    <w:basedOn w:val="1"/>
    <w:link w:val="69"/>
    <w:qFormat/>
    <w:uiPriority w:val="0"/>
  </w:style>
  <w:style w:type="paragraph" w:styleId="16">
    <w:name w:val="footer"/>
    <w:basedOn w:val="1"/>
    <w:link w:val="102"/>
    <w:qFormat/>
    <w:uiPriority w:val="99"/>
    <w:pPr>
      <w:tabs>
        <w:tab w:val="center" w:pos="4153"/>
        <w:tab w:val="right" w:pos="8306"/>
      </w:tabs>
      <w:snapToGrid w:val="0"/>
      <w:jc w:val="right"/>
    </w:pPr>
  </w:style>
  <w:style w:type="paragraph" w:styleId="17">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8">
    <w:name w:val="toc 1"/>
    <w:basedOn w:val="1"/>
    <w:next w:val="1"/>
    <w:qFormat/>
    <w:uiPriority w:val="39"/>
    <w:pPr>
      <w:tabs>
        <w:tab w:val="right" w:leader="dot" w:pos="9242"/>
      </w:tabs>
    </w:pPr>
    <w:rPr>
      <w:rFonts w:asciiTheme="minorEastAsia" w:hAnsiTheme="minorEastAsia" w:eastAsiaTheme="minorEastAsia"/>
      <w:szCs w:val="21"/>
    </w:rPr>
  </w:style>
  <w:style w:type="paragraph" w:styleId="19">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0">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1">
    <w:name w:val="toc 2"/>
    <w:basedOn w:val="1"/>
    <w:next w:val="1"/>
    <w:unhideWhenUsed/>
    <w:qFormat/>
    <w:uiPriority w:val="39"/>
    <w:pPr>
      <w:widowControl/>
      <w:spacing w:after="100" w:line="259" w:lineRule="auto"/>
      <w:ind w:left="220"/>
    </w:pPr>
    <w:rPr>
      <w:rFonts w:asciiTheme="minorHAnsi" w:hAnsiTheme="minorHAnsi" w:eastAsiaTheme="minorEastAsia"/>
      <w:kern w:val="0"/>
      <w:sz w:val="22"/>
      <w:szCs w:val="22"/>
    </w:rPr>
  </w:style>
  <w:style w:type="paragraph" w:styleId="22">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3">
    <w:name w:val="Normal (Web)"/>
    <w:basedOn w:val="1"/>
    <w:qFormat/>
    <w:uiPriority w:val="0"/>
    <w:rPr>
      <w:sz w:val="24"/>
    </w:rPr>
  </w:style>
  <w:style w:type="paragraph" w:styleId="24">
    <w:name w:val="annotation subject"/>
    <w:basedOn w:val="9"/>
    <w:next w:val="9"/>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line="360" w:lineRule="exact"/>
      <w:ind w:firstLine="420" w:firstLineChars="200"/>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after="160"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numPr>
        <w:ilvl w:val="0"/>
        <w:numId w:val="1"/>
      </w:numPr>
      <w:spacing w:before="312" w:beforeLines="100" w:after="312" w:afterLines="100" w:line="360" w:lineRule="exact"/>
      <w:ind w:left="0"/>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156" w:beforeLines="50" w:after="156"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asciiTheme="minorEastAsia" w:hAnsiTheme="minorEastAsia" w:eastAsiaTheme="minorEastAsia"/>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5"/>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rPr>
      <w:rFonts w:asciiTheme="minorHAnsi" w:hAnsiTheme="minorHAnsi" w:eastAsiaTheme="minorEastAsia" w:cstheme="minorBidi"/>
      <w:lang w:val="en-US" w:eastAsia="zh-CN" w:bidi="ar-SA"/>
    </w:rPr>
  </w:style>
  <w:style w:type="paragraph" w:customStyle="1" w:styleId="72">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sz w:val="21"/>
    </w:rPr>
  </w:style>
  <w:style w:type="paragraph" w:customStyle="1" w:styleId="9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Char"/>
    <w:basedOn w:val="27"/>
    <w:link w:val="9"/>
    <w:qFormat/>
    <w:uiPriority w:val="0"/>
    <w:rPr>
      <w:kern w:val="2"/>
      <w:sz w:val="21"/>
      <w:szCs w:val="24"/>
    </w:rPr>
  </w:style>
  <w:style w:type="paragraph" w:customStyle="1" w:styleId="95">
    <w:name w:val="修订5"/>
    <w:hidden/>
    <w:semiHidden/>
    <w:qFormat/>
    <w:uiPriority w:val="99"/>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6"/>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Lines="50"/>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Lines="50"/>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rPr>
      <w:rFonts w:ascii="Times New Roman" w:hAnsi="Times New Roman" w:eastAsia="宋体" w:cs="Times New Roman"/>
      <w:kern w:val="2"/>
      <w:sz w:val="21"/>
      <w:szCs w:val="24"/>
      <w:lang w:val="en-US" w:eastAsia="zh-CN" w:bidi="ar-SA"/>
    </w:rPr>
  </w:style>
  <w:style w:type="character" w:customStyle="1" w:styleId="111">
    <w:name w:val="页眉 Char"/>
    <w:basedOn w:val="27"/>
    <w:link w:val="17"/>
    <w:qFormat/>
    <w:uiPriority w:val="99"/>
    <w:rPr>
      <w:rFonts w:ascii="黑体" w:hAnsi="黑体" w:eastAsia="黑体"/>
      <w:kern w:val="2"/>
      <w:sz w:val="21"/>
      <w:szCs w:val="21"/>
    </w:rPr>
  </w:style>
  <w:style w:type="paragraph" w:customStyle="1" w:styleId="112">
    <w:name w:val="修订8"/>
    <w:hidden/>
    <w:unhideWhenUsed/>
    <w:qFormat/>
    <w:uiPriority w:val="99"/>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基准页眉样式"/>
    <w:basedOn w:val="10"/>
    <w:qFormat/>
    <w:uiPriority w:val="0"/>
    <w:pPr>
      <w:spacing w:line="312" w:lineRule="auto"/>
    </w:pPr>
    <w:rPr>
      <w:rFonts w:cs="宋体"/>
      <w:spacing w:val="-4"/>
      <w:sz w:val="21"/>
      <w:szCs w:val="21"/>
    </w:rPr>
  </w:style>
  <w:style w:type="paragraph" w:customStyle="1" w:styleId="118">
    <w:name w:val="Revision"/>
    <w:hidden/>
    <w:semiHidden/>
    <w:qFormat/>
    <w:uiPriority w:val="99"/>
    <w:rPr>
      <w:rFonts w:ascii="宋体" w:hAnsi="宋体" w:eastAsia="宋体" w:cs="Times New Roman"/>
      <w:kern w:val="2"/>
      <w:sz w:val="18"/>
      <w:szCs w:val="18"/>
      <w:lang w:val="en-US" w:eastAsia="zh-CN" w:bidi="ar-SA"/>
    </w:rPr>
  </w:style>
  <w:style w:type="paragraph" w:customStyle="1" w:styleId="119">
    <w:name w:val="_Style 57"/>
    <w:basedOn w:val="1"/>
    <w:next w:val="1"/>
    <w:qFormat/>
    <w:uiPriority w:val="39"/>
    <w:pPr>
      <w:tabs>
        <w:tab w:val="clear" w:pos="0"/>
      </w:tabs>
    </w:pPr>
    <w:rPr>
      <w:rFonts w:ascii="Times New Roman" w:hAnsi="Times New Roman" w:eastAsia="等线"/>
      <w:b/>
      <w:caps/>
      <w:sz w:val="20"/>
      <w:szCs w:val="21"/>
    </w:rPr>
  </w:style>
  <w:style w:type="paragraph" w:customStyle="1" w:styleId="120">
    <w:name w:val="TOC Heading"/>
    <w:basedOn w:val="2"/>
    <w:next w:val="1"/>
    <w:semiHidden/>
    <w:unhideWhenUsed/>
    <w:qFormat/>
    <w:uiPriority w:val="39"/>
    <w:pPr>
      <w:widowControl/>
      <w:tabs>
        <w:tab w:val="clear" w:pos="0"/>
      </w:tabs>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4802</Words>
  <Characters>5375</Characters>
  <Lines>48</Lines>
  <Paragraphs>13</Paragraphs>
  <TotalTime>0</TotalTime>
  <ScaleCrop>false</ScaleCrop>
  <LinksUpToDate>false</LinksUpToDate>
  <CharactersWithSpaces>5529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2024-11-01T11:28:00Z</dcterms:created>
  <dc:creator>妙手空空</dc:creator>
  <cp:lastModifiedBy>封立琪</cp:lastModifiedBy>
  <cp:lastPrinted>2024-11-12T13:42:00Z</cp:lastPrinted>
  <dcterms:modified xsi:type="dcterms:W3CDTF">2025-11-07T01:19:01Z</dcterms:modified>
  <cp:revision>1357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967C45021B1E448EA7BC3F33886AC56F_13</vt:lpwstr>
  </property>
  <property fmtid="{D5CDD505-2E9C-101B-9397-08002B2CF9AE}" pid="4" name="KSOTemplateDocerSaveRecord">
    <vt:lpwstr>eyJoZGlkIjoiNGEzZTg0MTRlY2JlODJmOTQ2Y2NhNGM3NmZhMTFlOGIiLCJ1c2VySWQiOiI0NDI4MTIyMjgifQ==</vt:lpwstr>
  </property>
</Properties>
</file>